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XX主管</w:t>
      </w:r>
      <w:r>
        <w:rPr>
          <w:rFonts w:hint="default" w:ascii="方正小标宋简体" w:hAnsi="黑体" w:eastAsia="方正小标宋简体"/>
          <w:snapToGrid w:val="0"/>
          <w:kern w:val="0"/>
          <w:sz w:val="44"/>
          <w:szCs w:val="44"/>
          <w:lang w:val="en" w:eastAsia="zh-CN"/>
        </w:rPr>
        <w:t>（管理）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"/>
        </w:rPr>
        <w:t>全</w:t>
      </w:r>
      <w:r>
        <w:rPr>
          <w:rStyle w:val="7"/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 w:bidi="ar"/>
        </w:rPr>
        <w:t>省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"/>
        </w:rPr>
        <w:t>性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社会团体分支（代表）机构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整治行动进展情况统计表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>单位（盖章）：        年    月   日          联系人：               联系电话：</w:t>
      </w:r>
    </w:p>
    <w:tbl>
      <w:tblPr>
        <w:tblStyle w:val="4"/>
        <w:tblpPr w:leftFromText="180" w:rightFromText="180" w:vertAnchor="text" w:horzAnchor="page" w:tblpX="1508" w:tblpY="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000"/>
        <w:gridCol w:w="1650"/>
        <w:gridCol w:w="1561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总体情况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开展自查的社会团体数（个）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抽查检查的社会团体数（个）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发现存在整治情形的社会团体数（个）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列入整治范围的分支（代表）机构数（个）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题情形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发现问题（个）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已完成社会团体授权任务和宗旨使命的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超出社会团体章程规定宗旨和业务范围的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另行制定章程的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名称或业务范围有相同相似的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未按照规定程序设立的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名称中使用“中国”、“中华”、“全国”、“国家”等字样的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除代表机构外，名称带有地域性特征的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分支（代表）机构下再设立或者变相设立分支（代表）机构的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内部管理混乱影响正常运转的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拒不服从社会团体领导和管理的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连续两年及以上未开展活动的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与非法社会组织存在勾连的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财务收支未纳入社会团体统一账户管理的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开设独立银行账户的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单独制定会费标准的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通过收取管理费、赞助费等方式将分支（代表）机构委托其他组织运营的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存在违规收费或者违规开展评比达标表彰活动情形的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违反其他管理规定的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整治结果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列入整治数（个）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完成整治数（个）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终止的分支（代表）机构数（个）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限期整改的分支（代表）机构数（个）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1608"/>
    <w:rsid w:val="598E1608"/>
    <w:rsid w:val="5D71C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2022-04-11T10:13:00Z</dcterms:created>
  <dc:creator>依一</dc:creator>
  <cp:lastModifiedBy>mzt</cp:lastModifiedBy>
  <cp:lastPrinted>2022-04-13T11:43:43Z</cp:lastPrinted>
  <dcterms:modified xsi:type="dcterms:W3CDTF">2022-04-13T12:17:25Z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3CEC55E9F298411FADB149CC822F5AC3</vt:lpwstr>
  </property>
</Properties>
</file>