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660F1">
      <w:pPr>
        <w:widowControl/>
        <w:spacing w:line="580" w:lineRule="exact"/>
        <w:jc w:val="left"/>
        <w:outlineLvl w:val="0"/>
        <w:rPr>
          <w:rFonts w:hint="eastAsia" w:ascii="Times New Roman" w:hAnsi="Times New Roman" w:eastAsia="方正黑体_GBK" w:cs="Times New Roman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Cs/>
          <w:color w:val="auto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bCs/>
          <w:color w:val="auto"/>
          <w:sz w:val="32"/>
          <w:szCs w:val="32"/>
          <w:lang w:val="en-US" w:eastAsia="zh-CN"/>
        </w:rPr>
        <w:t xml:space="preserve">2  </w:t>
      </w:r>
    </w:p>
    <w:p w14:paraId="6B67D6A9">
      <w:pPr>
        <w:widowControl/>
        <w:spacing w:line="580" w:lineRule="exact"/>
        <w:jc w:val="left"/>
        <w:outlineLvl w:val="0"/>
        <w:rPr>
          <w:rFonts w:hint="eastAsia" w:ascii="Times New Roman" w:hAnsi="Times New Roman" w:eastAsia="黑体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bCs/>
          <w:color w:val="auto"/>
          <w:sz w:val="32"/>
          <w:szCs w:val="32"/>
          <w:lang w:val="en-US" w:eastAsia="zh-CN"/>
        </w:rPr>
        <w:t>2026年度</w:t>
      </w:r>
      <w:r>
        <w:rPr>
          <w:rFonts w:hint="default" w:ascii="Times New Roman" w:hAnsi="Times New Roman" w:eastAsia="方正小标宋_GBK" w:cs="Times New Roman"/>
          <w:bCs/>
          <w:color w:val="auto"/>
          <w:sz w:val="32"/>
          <w:szCs w:val="32"/>
        </w:rPr>
        <w:t>社会组织</w:t>
      </w:r>
      <w:r>
        <w:rPr>
          <w:rFonts w:hint="eastAsia" w:ascii="Times New Roman" w:hAnsi="Times New Roman" w:eastAsia="方正小标宋_GBK" w:cs="Times New Roman"/>
          <w:bCs/>
          <w:color w:val="auto"/>
          <w:sz w:val="32"/>
          <w:szCs w:val="32"/>
          <w:lang w:val="en-US" w:eastAsia="zh-CN"/>
        </w:rPr>
        <w:t>高质量发展</w:t>
      </w:r>
      <w:r>
        <w:rPr>
          <w:rFonts w:hint="eastAsia" w:ascii="Times New Roman" w:hAnsi="Times New Roman" w:eastAsia="方正小标宋_GBK" w:cs="Times New Roman"/>
          <w:bCs/>
          <w:color w:val="auto"/>
          <w:sz w:val="32"/>
          <w:szCs w:val="32"/>
          <w:lang w:eastAsia="zh-CN"/>
        </w:rPr>
        <w:t>典型</w:t>
      </w:r>
      <w:r>
        <w:rPr>
          <w:rFonts w:hint="default" w:ascii="Times New Roman" w:hAnsi="Times New Roman" w:eastAsia="方正小标宋_GBK" w:cs="Times New Roman"/>
          <w:bCs/>
          <w:color w:val="auto"/>
          <w:sz w:val="32"/>
          <w:szCs w:val="32"/>
        </w:rPr>
        <w:t>案例</w:t>
      </w:r>
      <w:r>
        <w:rPr>
          <w:rFonts w:hint="eastAsia" w:ascii="Times New Roman" w:hAnsi="Times New Roman" w:eastAsia="方正小标宋_GBK" w:cs="Times New Roman"/>
          <w:bCs/>
          <w:color w:val="auto"/>
          <w:sz w:val="32"/>
          <w:szCs w:val="32"/>
          <w:lang w:eastAsia="zh-CN"/>
        </w:rPr>
        <w:t>格式文本</w:t>
      </w:r>
    </w:p>
    <w:p w14:paraId="21228F72">
      <w:pPr>
        <w:pageBreakBefore w:val="0"/>
        <w:widowControl/>
        <w:bidi w:val="0"/>
        <w:spacing w:beforeAutospacing="0" w:afterAutospacing="0" w:line="240" w:lineRule="auto"/>
        <w:jc w:val="center"/>
        <w:outlineLvl w:val="0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bookmarkStart w:id="0" w:name="_Toc9229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助力零碳实践转化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共建零碳美丽城市</w:t>
      </w:r>
      <w:bookmarkEnd w:id="0"/>
    </w:p>
    <w:p w14:paraId="796C8753">
      <w:pPr>
        <w:pageBreakBefore w:val="0"/>
        <w:widowControl/>
        <w:bidi w:val="0"/>
        <w:spacing w:beforeAutospacing="0" w:afterAutospacing="0" w:line="240" w:lineRule="auto"/>
        <w:jc w:val="center"/>
        <w:outlineLvl w:val="0"/>
        <w:rPr>
          <w:rFonts w:ascii="方正小标宋_GBK" w:hAnsi="方正小标宋_GBK" w:eastAsia="方正小标宋_GBK" w:cs="方正小标宋_GBK"/>
          <w:sz w:val="32"/>
          <w:szCs w:val="32"/>
        </w:rPr>
      </w:pPr>
      <w:bookmarkStart w:id="1" w:name="_Toc30809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32"/>
          <w:szCs w:val="32"/>
        </w:rPr>
        <w:t>安徽省零碳协会</w:t>
      </w:r>
      <w:bookmarkEnd w:id="1"/>
    </w:p>
    <w:p w14:paraId="5F8286DA">
      <w:pPr>
        <w:keepNext w:val="0"/>
        <w:keepLines w:val="0"/>
        <w:pageBreakBefore w:val="0"/>
        <w:widowControl/>
        <w:kinsoku/>
        <w:wordWrap/>
        <w:overflowPunct w:val="0"/>
        <w:topLinePunct/>
        <w:autoSpaceDE w:val="0"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baseline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安徽省零碳协会紧密围绕国家“双碳”战略目标及我省“科技强省”部署，充分发挥社会组织桥梁纽带作用，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2025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年以来，在合肥成功举办了三场高规格全国性“零碳发展大会”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系列会议包括：“零碳园区产业航母集群暨零碳园区创建研讨会”、“零碳园区的中国路径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  <w:t>——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从战略到实践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2025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零碳园区建设与投资研讨会”以及“第三届零碳发展大会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  <w:t>——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共建零碳城市绘就美丽中国”。</w:t>
      </w:r>
    </w:p>
    <w:p w14:paraId="39DA65A0">
      <w:pPr>
        <w:keepNext w:val="0"/>
        <w:keepLines w:val="0"/>
        <w:pageBreakBefore w:val="0"/>
        <w:widowControl/>
        <w:kinsoku/>
        <w:wordWrap/>
        <w:overflowPunct w:val="0"/>
        <w:topLinePunct/>
        <w:autoSpaceDE w:val="0"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baseline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活动紧扣《国家碳达峰碳中和战略》顶层设计，聚焦零碳园区这一关键载体与城市高质量发展的核心路径。三场大会共吸引了国家部委、院士、知名学者、金融机构代表以及来自全国能源、科技、制造、金融、环境等领域的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800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余家企业参会。协会牵头发布了涵盖零碳园区、零碳文旅景区、零碳矿山、零碳城市等领域的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项标准，启动了《零碳城市蓝皮书》编撰工作，还深入服务黄山风景区、奇瑞汽车等十余家重点企业与园区，助力其零碳创建，推动零碳实践转化。</w:t>
      </w:r>
    </w:p>
    <w:p w14:paraId="0D468195">
      <w:pPr>
        <w:pageBreakBefore w:val="0"/>
        <w:bidi w:val="0"/>
        <w:spacing w:beforeAutospacing="0" w:afterAutospacing="0" w:line="240" w:lineRule="auto"/>
        <w:jc w:val="center"/>
        <w:outlineLvl w:val="0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inline distT="0" distB="0" distL="114300" distR="114300">
            <wp:extent cx="2590800" cy="1444625"/>
            <wp:effectExtent l="0" t="0" r="0" b="3175"/>
            <wp:docPr id="2" name="图片 1" descr="e108b381121c7ecfb33dbbc6f89f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108b381121c7ecfb33dbbc6f89f96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inline distT="0" distB="0" distL="114300" distR="114300">
            <wp:extent cx="2591435" cy="1442085"/>
            <wp:effectExtent l="0" t="0" r="14605" b="5715"/>
            <wp:docPr id="5" name="图片 2" descr="39e71d17da73425e67a06797efd0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39e71d17da73425e67a06797efd01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31852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</w:rPr>
        <w:t>聚焦公共安全数字化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</w:rPr>
        <w:t>赋能社会治理现代化</w:t>
      </w:r>
      <w:bookmarkEnd w:id="2"/>
    </w:p>
    <w:p w14:paraId="1F9850B9">
      <w:pPr>
        <w:pageBreakBefore w:val="0"/>
        <w:bidi w:val="0"/>
        <w:spacing w:beforeAutospacing="0" w:afterAutospacing="0" w:line="240" w:lineRule="auto"/>
        <w:jc w:val="center"/>
        <w:outlineLvl w:val="0"/>
        <w:rPr>
          <w:rFonts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</w:pPr>
      <w:bookmarkStart w:id="3" w:name="_Toc18493"/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安徽省安全技术防范行业协会</w:t>
      </w:r>
      <w:bookmarkEnd w:id="3"/>
    </w:p>
    <w:p w14:paraId="7A4C83A7">
      <w:pPr>
        <w:keepNext w:val="0"/>
        <w:keepLines w:val="0"/>
        <w:pageBreakBefore w:val="0"/>
        <w:widowControl/>
        <w:kinsoku/>
        <w:wordWrap/>
        <w:overflowPunct w:val="0"/>
        <w:topLinePunct/>
        <w:autoSpaceDE w:val="0"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baseline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2025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日，安徽省安全技术防范行业协会以“发展公共安全数字化·赋能社会治理现代化”为主题，在合肥滨湖国际会展中心举办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2025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安徽国际社会公共安全产品暨警用装备展览会。展会设标准展位近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300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个，展出产品数千件，吸引观众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1.02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万人次，达成意向合作金额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910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万元。本次展会呈现五大特点：一是首次设置公安科技创新成果展区，集中展示我省公安科技创新成果，全省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地市数千名公安干警实地观摩考察；二是集中展示AI视频分析、智能巡检机器人等热点技术产品；三是设置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VR/AR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体验区、实操演示等环节，同步开展线上直播；四是举办“公安科技&amp;警务技术装备创新发展论坛”“低空安全创新发展论坛”；五是凸显地域辐射效应，吸引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个外省市安防协会及企业参与，促进跨区域技术交流与资源共享。</w:t>
      </w:r>
    </w:p>
    <w:p w14:paraId="239E071D">
      <w:pPr>
        <w:pageBreakBefore w:val="0"/>
        <w:widowControl/>
        <w:bidi w:val="0"/>
        <w:spacing w:beforeAutospacing="0" w:afterAutospacing="0" w:line="240" w:lineRule="auto"/>
        <w:jc w:val="left"/>
        <w:rPr>
          <w:rFonts w:ascii="方正仿宋_GBK" w:hAnsi="方正仿宋_GBK" w:eastAsia="方正仿宋_GBK" w:cs="方正仿宋_GBK"/>
          <w:kern w:val="0"/>
          <w:sz w:val="28"/>
          <w:szCs w:val="28"/>
        </w:rPr>
      </w:pPr>
      <w:r>
        <w:rPr>
          <w:rFonts w:ascii="方正仿宋_GBK" w:hAnsi="方正仿宋_GBK" w:eastAsia="方正仿宋_GBK" w:cs="方正仿宋_GBK"/>
          <w:kern w:val="0"/>
          <w:sz w:val="28"/>
          <w:szCs w:val="28"/>
        </w:rPr>
        <w:drawing>
          <wp:inline distT="0" distB="0" distL="114300" distR="114300">
            <wp:extent cx="2605405" cy="1613535"/>
            <wp:effectExtent l="0" t="0" r="635" b="1905"/>
            <wp:docPr id="1" name="图片 3" descr="716203f739ac425e1bc310b9f2e69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716203f739ac425e1bc310b9f2e696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kern w:val="0"/>
          <w:sz w:val="28"/>
          <w:szCs w:val="28"/>
        </w:rPr>
        <w:drawing>
          <wp:inline distT="0" distB="0" distL="114300" distR="114300">
            <wp:extent cx="2551430" cy="1611630"/>
            <wp:effectExtent l="0" t="0" r="8890" b="3810"/>
            <wp:docPr id="3" name="图片 4" descr="69d61de3e844fe01acb498238c58e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69d61de3e844fe01acb498238c58e7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E287">
      <w:pPr>
        <w:pStyle w:val="2"/>
        <w:jc w:val="both"/>
        <w:rPr>
          <w:rFonts w:hint="default" w:eastAsia="宋体"/>
          <w:lang w:val="en-US" w:eastAsia="zh-CN"/>
        </w:rPr>
      </w:pPr>
    </w:p>
    <w:p w14:paraId="28FC08BF">
      <w:bookmarkStart w:id="4" w:name="_GoBack"/>
      <w:bookmarkEnd w:id="4"/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8873A67-A7CB-4DD8-BC34-1ABBFAB37E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C205C71-DA52-4BF6-9175-E34EB1AFC1E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BA5D371E-0307-4BBD-88FE-9604F401DD77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F3C5F582-F114-4A9F-BB02-4DEBE984ACA0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07724704-C05D-4925-9829-96E19A382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C757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21210">
                          <w:pPr>
                            <w:pStyle w:val="3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1121210">
                    <w:pPr>
                      <w:pStyle w:val="3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7C741">
    <w:pPr>
      <w:pStyle w:val="3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 w14:paraId="0A207F22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44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0" w:after="140" w:line="276" w:lineRule="auto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2026-04-14T08:09:45Z</dcterms:created>
  <dc:creator>詹昊</dc:creator>
  <cp:lastModifiedBy>念</cp:lastModifiedBy>
  <dcterms:modified xsi:type="dcterms:W3CDTF">2026-04-14T08:10:04Z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eyJoZGlkIjoiMDcyY2NiNWE3ZjA4YmE4ZDkwN2MxY2ZiMTRkOTk3M2QiLCJ1c2VySWQiOiI4MTIzNDYwODkifQ==</vt:lpwstr>
  </property>
  <property fmtid="{D5CDD505-2E9C-101B-9397-08002B2CF9AE}" pid="4" name="ICV">
    <vt:lpwstr>F70CBA16E1324BA8832968F53D4305DB_12</vt:lpwstr>
  </property>
</Properties>
</file>