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"/>
        </w:rPr>
        <w:t>附件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1</w:t>
      </w:r>
    </w:p>
    <w:bookmarkEnd w:id="0"/>
    <w:p>
      <w:pPr>
        <w:widowControl/>
        <w:shd w:val="clear" w:color="auto" w:fill="FFFFFF"/>
        <w:spacing w:before="312" w:beforeLines="100" w:after="312" w:afterLines="100" w:line="56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全省性行业协会商会评估考核细则</w:t>
      </w:r>
    </w:p>
    <w:tbl>
      <w:tblPr>
        <w:tblStyle w:val="2"/>
        <w:tblW w:w="979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2142"/>
        <w:gridCol w:w="768"/>
        <w:gridCol w:w="56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6"/>
                <w:szCs w:val="16"/>
              </w:rPr>
              <w:t> 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评估考核内容</w:t>
            </w: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评估考核指标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分值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</w:rPr>
              <w:t>评估考核标准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121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党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建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引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领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(12分)</w:t>
            </w: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“两个覆盖”情况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3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单独建立党组织得3分；联合组建或建立功能型党组织得2分；派驻党建工作指导员或组建群团组织得1分；未覆盖不得分。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121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党建工作入章程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坚持党的全面领导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章程中对建立党的组织、开展党的工作作出明确规定的，得2分；章程中没有体现的，不得分。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党组织开展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工作情况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kern w:val="0"/>
                <w:sz w:val="24"/>
              </w:rPr>
              <w:t>认真落实“三会一课”等党的组织生活基本制度，严肃党内政治生活，加强党员日常教育管理，视情得1-2分。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121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党组织参与重大事项决策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重大事项听取党组织意见，强化党组织把方向、议大事、促落实职能，以党建促会建，党建会建融合发展。执行到位得2分，未参与不得分。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评先评优获奖情况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获评省级及以上“两优一先”“双比双争”先进社会组织党组织等省级荣誉称号得2分；获评省级行业（综合）党委荣誉称号得1分；未获评不得分。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21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落实意识形态工作责任制情况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加强意识形态阵地建设，对“一讲两坛三会”及各类宣传平台严格管理，得1分，未落实不得分。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组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织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机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构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(12分)</w:t>
            </w: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负责人影响力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会长（理事长）所在企业为行业全国百强或省内十强，得2分；其他得1分。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专职秘书长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秘书长为专职的，得2分。非专职不得分。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1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专职工作人员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秘书处专职工作人员3人以上，得1分；5人以上，得2分。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21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会员发展情况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会员数量200家以上的得2分，100-200家的得1分，100家以下的，得0.5分。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21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经费保障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会费收费规范，有保障商协会正常开展工作的经费，得2分。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121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办公场所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及设施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有独立固定办公场所且办公面积100m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以上的，得2分；50-100m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的，得1分；50m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以下的，得0.5分。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  <w:jc w:val="center"/>
        </w:trPr>
        <w:tc>
          <w:tcPr>
            <w:tcW w:w="121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规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范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管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理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(10分)</w:t>
            </w: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内部管理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6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健全以商协会章程为核心，决策、执行和监督相分离的法人治理结构和现代管理制度，得2分；建立会员数据库和档案，得1分；开展重大活动等及时向业务主管单位和登记管理机关报告，得1分；按时参加年检且合格，得1分；未发生违规评比表彰等行为，得1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会议制度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每年召开1次理事会、2次常务理事会及以上的，得1分；按时换届（如因特殊原因延时，须报经业务主管单位、登记管理机关同意）得1分。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财务制度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会费收取及经营性服务收费按规定公示。执行《民间非营利组织会计制度》，加强财务会计管理工作，视情得1-2分。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  <w:jc w:val="center"/>
        </w:trPr>
        <w:tc>
          <w:tcPr>
            <w:tcW w:w="121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平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台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建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设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(13分)</w:t>
            </w: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宣传推广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建立商协会网站、微信公众号、视频号等信息平台，或出版会刊、简报等，定期发布工作进展成效的，视情得1-2分。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exac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信息报送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每月向省社会组织信息平台、网上工商联平台报送工作进展有效信息的，视情得1-2分。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区域交流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4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组建长三角或中部地区行业联盟，得1分；与沪苏浙等地商协会开展行业互动，得1分；以商协会名义组团参加“一带一路”等国际经贸活动或世界制造业大会、进博会、中博会等具有较大影响力的展会，视情得1-2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搭建平台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为会员搭建服务平台，推送中央及省涉企政策，提供政策、法规、技术、信息交流与咨询服务，视情得1-2分。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举办职业技能竞赛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3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主办或承办省总工会、省人社厅组织开展的省级以上职业技能竞赛，得2分；参赛选手获得省“五一”劳动奖章，企业获得省“五一”劳动奖状，班组获得“工人先锋号”等称号的，各得1分，最高得3分。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1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双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招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双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引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(25分)</w:t>
            </w: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承办招商会议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4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承办1次招商推介会或投资恳谈会，得2分，最高得4分。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举办展会峰会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4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牵头举办1次全国性行业性展会或峰会，得4分；协助举办1次全国性或牵头举办1次全省性行业性展会或峰会，得2分，最高得4分。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建设产业园区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6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积极牵线搭桥，协助党委和政府建设产业园区的，得2分；磋商、协商、意向等有实质性进展的，得4分；落地见效的，得6分。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招商引资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6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积极牵线搭桥，协助党委和政府招商引资的，得2分；招商引资额1000万元以上，得4分；1000-5000万元，得5分；5000万元以上，得6分。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招才引智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5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积极牵线搭桥，协助党委和政府引进“大院大所”来皖设立分支机构或引进高层次人才（团队）落户安徽的，得2分；引进成功，获省人才办、省科技厅认定的，得5分。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121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职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能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履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行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kern w:val="0"/>
                <w:sz w:val="24"/>
              </w:rPr>
              <w:t>(28分)</w:t>
            </w: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推动行业自律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制定行业自律公约，建立诚信承诺制度，开展会员信用评价的，得1分；引导会员积极构建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亲清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政商关系、和谐劳动关系，注重安全生产、保护环境的，得1分。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4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服务会员企业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13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为会员开展各类咨询服务，得2分；帮助会员企业解决融资问题且受益5家以上，得2分；制定或参与制定国家标准、行业标准，得2分，制定发布或参与制定发布地方标准、团体标准，得1分；表扬优秀会员企业，公平公正且不收取费用，得1分；依法依规举办培训、会议2次以上，得2分；建立商协会调解组织或借助各级工商联组建的商会人民调解委员会，参与矛盾纠纷多元化解的，视情得3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强化能力建设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4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积极争取党委和政府“赋能”，承接政府职能转移、参与政府购买服务的，得2分；在国家及省相关部门组织的评先评优中获得荣誉、成果等，得2分。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服务党委和政府决策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5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开展行业统计调研、收集行业诉求，向党委和政府有关部门提交研究报告和意见建议，积极参加党委和政府有关部门意见征询会，为党委和政府提供决策参考，得2分；定期编制行业（产业）发展报告，得1分；参与编制行业发展规划或专项规划，得1分；商协会通过人大、政协会议(或通过省工商联团体提案等方式)建言献策、参政议政，得1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14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履行社会责任</w:t>
            </w:r>
          </w:p>
        </w:tc>
        <w:tc>
          <w:tcPr>
            <w:tcW w:w="7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4</w:t>
            </w:r>
          </w:p>
        </w:tc>
        <w:tc>
          <w:tcPr>
            <w:tcW w:w="5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积极参与乡村振兴、光彩事业、疫情防控、抗汛救灾等公益事业，取得实效，视情得1-4分。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ODAwZDJlY2Y4NDg2YTcyY2QzMDE2MjcxZDcyZjEifQ=="/>
  </w:docVars>
  <w:rsids>
    <w:rsidRoot w:val="62A80AC1"/>
    <w:rsid w:val="62A8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2022-09-13T09:46:00Z</dcterms:created>
  <dc:creator>wxz</dc:creator>
  <cp:lastModifiedBy>wxz</cp:lastModifiedBy>
  <dcterms:modified xsi:type="dcterms:W3CDTF">2022-09-13T09:47:16Z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9CCD3FE53A104A028E04C8A4251897E1</vt:lpwstr>
  </property>
</Properties>
</file>