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line="500" w:lineRule="exact"/>
        <w:ind w:firstLine="0" w:firstLineChars="0"/>
        <w:jc w:val="center"/>
        <w:rPr>
          <w:rFonts w:ascii="黑体" w:hAnsi="黑体" w:eastAsia="黑体" w:cs="黑体"/>
          <w:sz w:val="30"/>
          <w:szCs w:val="30"/>
        </w:rPr>
      </w:pPr>
      <w:r>
        <w:rPr>
          <w:rFonts w:hint="eastAsia" w:ascii="黑体" w:hAnsi="黑体" w:eastAsia="黑体" w:cs="黑体"/>
          <w:sz w:val="30"/>
          <w:szCs w:val="30"/>
        </w:rPr>
        <w:t>安徽省省级联合类社会团体评估指标及评分细则（试行）</w:t>
      </w:r>
    </w:p>
    <w:p>
      <w:pPr>
        <w:pStyle w:val="41"/>
      </w:pPr>
    </w:p>
    <w:tbl>
      <w:tblPr>
        <w:tblStyle w:val="28"/>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有专人保管，且证书正本悬挂于门厅处，使用规范（5分）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□登记证书正本无专人保管，证书正本未悬挂于门厅处，或未规范使（0分）  </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241" w:type="dxa"/>
            <w:vMerge w:val="continue"/>
          </w:tcPr>
          <w:p>
            <w:pPr>
              <w:pStyle w:val="41"/>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办公用房面积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□办公面积50平米及以上(3分)                                                                                                   </w:t>
            </w:r>
          </w:p>
          <w:p>
            <w:pPr>
              <w:widowControl/>
              <w:jc w:val="left"/>
              <w:textAlignment w:val="center"/>
              <w:rPr>
                <w:rFonts w:ascii="宋体"/>
                <w:sz w:val="24"/>
              </w:rPr>
            </w:pPr>
            <w:r>
              <w:rPr>
                <w:rFonts w:hint="eastAsia" w:ascii="宋体" w:hAnsi="宋体" w:cs="宋体"/>
                <w:color w:val="000000"/>
                <w:kern w:val="0"/>
                <w:sz w:val="24"/>
              </w:rPr>
              <w:t>□办公面积50平米以下（2分）                                                      □无办公场所（0分）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□自有产权，提供产权证明；租赁，提供租赁合同；无偿使用，独立办公(2分)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c>
          <w:tcPr>
            <w:tcW w:w="5189" w:type="dxa"/>
            <w:vAlign w:val="center"/>
          </w:tcPr>
          <w:p>
            <w:pPr>
              <w:widowControl/>
              <w:jc w:val="left"/>
              <w:textAlignment w:val="center"/>
              <w:rPr>
                <w:rStyle w:val="50"/>
                <w:rFonts w:hint="default"/>
              </w:rPr>
            </w:pPr>
            <w:r>
              <w:rPr>
                <w:rFonts w:hint="eastAsia" w:ascii="宋体" w:hAnsi="宋体" w:cs="宋体"/>
                <w:color w:val="000000"/>
                <w:kern w:val="0"/>
                <w:sz w:val="24"/>
              </w:rPr>
              <w:t xml:space="preserve">□有电脑、打印机、复印机等办公设备（3分）                                                                                                                            </w:t>
            </w:r>
            <w:r>
              <w:rPr>
                <w:rStyle w:val="50"/>
                <w:rFonts w:hint="default"/>
              </w:rPr>
              <w:t>注：每专职工作人员必须有一台电脑，否则不得分；其余每样1分。</w:t>
            </w:r>
          </w:p>
          <w:p>
            <w:pPr>
              <w:widowControl/>
              <w:jc w:val="left"/>
              <w:textAlignment w:val="center"/>
              <w:rPr>
                <w:rFonts w:ascii="宋体"/>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jc w:val="center"/>
              <w:rPr>
                <w:sz w:val="24"/>
                <w:szCs w:val="24"/>
              </w:rPr>
            </w:pPr>
            <w:r>
              <w:rPr>
                <w:rFonts w:hint="eastAsia"/>
                <w:sz w:val="24"/>
                <w:szCs w:val="24"/>
              </w:rPr>
              <w:t>法定代表人</w:t>
            </w:r>
          </w:p>
          <w:p>
            <w:pPr>
              <w:pStyle w:val="41"/>
              <w:ind w:firstLine="0" w:firstLineChars="0"/>
              <w:jc w:val="center"/>
              <w:rPr>
                <w:szCs w:val="18"/>
              </w:rPr>
            </w:pPr>
            <w:r>
              <w:rPr>
                <w:rFonts w:hint="eastAsia"/>
                <w:sz w:val="24"/>
                <w:szCs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任职资格         （5分）</w:t>
            </w:r>
          </w:p>
        </w:tc>
        <w:tc>
          <w:tcPr>
            <w:tcW w:w="5189" w:type="dxa"/>
            <w:vAlign w:val="center"/>
          </w:tcPr>
          <w:p>
            <w:pPr>
              <w:widowControl/>
              <w:jc w:val="left"/>
              <w:textAlignment w:val="center"/>
              <w:rPr>
                <w:rFonts w:ascii="宋体" w:hAnsi="宋体" w:cs="宋体"/>
                <w:color w:val="000000"/>
                <w:kern w:val="0"/>
                <w:sz w:val="24"/>
              </w:rPr>
            </w:pPr>
            <w:r>
              <w:rPr>
                <w:rStyle w:val="52"/>
                <w:rFonts w:hint="default"/>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□法定代表人未按章程规定选举产生(0分)</w:t>
            </w:r>
            <w:r>
              <w:rPr>
                <w:rFonts w:hint="eastAsia" w:ascii="宋体" w:hAnsi="宋体" w:cs="宋体"/>
                <w:color w:val="000000"/>
                <w:kern w:val="0"/>
                <w:sz w:val="24"/>
              </w:rPr>
              <w:br w:type="textWrapping"/>
            </w:r>
            <w:r>
              <w:rPr>
                <w:rStyle w:val="52"/>
                <w:rFonts w:hint="default"/>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Style w:val="52"/>
                <w:rFonts w:hint="default"/>
              </w:rPr>
              <w:t>注：若法定代表人未发生变更的，不扣分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sz w:val="18"/>
              </w:rPr>
            </w:pPr>
            <w:r>
              <w:rPr>
                <w:rFonts w:hint="eastAsia" w:ascii="宋体" w:hAnsi="宋体" w:cs="宋体"/>
                <w:color w:val="000000"/>
                <w:kern w:val="0"/>
                <w:sz w:val="24"/>
              </w:rPr>
              <w:t xml:space="preserve">（30分）    </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□未按章程规定办理变更登记手续（0分）                                                                                             </w:t>
            </w:r>
            <w:r>
              <w:rPr>
                <w:rStyle w:val="52"/>
                <w:rFonts w:hint="default"/>
              </w:rPr>
              <w:t>注：变更事项包括名称、业务范围、住所、注册资金、法定代表人、业务主管单位；变更登记正在办理过程中视为按规定办理；上述任何一项未按规定办理，此项不得分。评估期内未发生变更事项，此项得满分。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□负责人发生变更，未按章程规定履行表决程序（0分）                                </w:t>
            </w:r>
          </w:p>
          <w:p>
            <w:pPr>
              <w:widowControl/>
              <w:jc w:val="left"/>
              <w:textAlignment w:val="center"/>
              <w:rPr>
                <w:rStyle w:val="50"/>
                <w:rFonts w:hint="default"/>
              </w:rPr>
            </w:pPr>
            <w:r>
              <w:rPr>
                <w:rStyle w:val="50"/>
                <w:rFonts w:hint="default"/>
              </w:rPr>
              <w:t>注：负责人指会长、监事长、副会长、秘书长。</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□负责人、监事、印章、银行账户、会员名册等备案内容完整，且一届一备案（5分）                                                                                           □负责人、监事、印章、银行账户、会员名册等未备案或备案内容不完整（0分）                                                                                 </w:t>
            </w:r>
            <w:r>
              <w:rPr>
                <w:rStyle w:val="52"/>
                <w:rFonts w:hint="default"/>
              </w:rPr>
              <w:t>换届备案</w:t>
            </w:r>
            <w:r>
              <w:rPr>
                <w:rStyle w:val="52"/>
                <w:rFonts w:hint="eastAsia"/>
                <w:lang w:eastAsia="zh-CN"/>
              </w:rPr>
              <w:t>：</w:t>
            </w:r>
            <w:r>
              <w:rPr>
                <w:rStyle w:val="52"/>
                <w:rFonts w:hint="default"/>
              </w:rPr>
              <w:t xml:space="preserve">                                                                               </w:t>
            </w:r>
            <w:r>
              <w:rPr>
                <w:rFonts w:hint="eastAsia" w:ascii="宋体" w:hAnsi="宋体" w:cs="宋体"/>
                <w:color w:val="000000"/>
                <w:kern w:val="0"/>
                <w:sz w:val="24"/>
              </w:rPr>
              <w:t xml:space="preserve">□负责人、新会员名册等备案内容完整，且一届一备案（5分）                                                                                        □负责人、新会员名册等未备案或备案内容不完整（0分）                                                                           </w:t>
            </w:r>
            <w:r>
              <w:rPr>
                <w:rStyle w:val="52"/>
                <w:rFonts w:hint="default"/>
              </w:rPr>
              <w:t>重大事项备案</w:t>
            </w:r>
            <w:r>
              <w:rPr>
                <w:rStyle w:val="52"/>
                <w:rFonts w:hint="eastAsia"/>
                <w:lang w:eastAsia="zh-CN"/>
              </w:rPr>
              <w:t>：</w:t>
            </w:r>
            <w:r>
              <w:rPr>
                <w:rStyle w:val="52"/>
                <w:rFonts w:hint="default"/>
              </w:rPr>
              <w:t xml:space="preserve"> </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Style w:val="52"/>
                <w:rFonts w:hint="default"/>
              </w:rPr>
              <w:t xml:space="preserve">注：重大事项包括组团境外考察、举办境内外展览展销、重大投资等。 </w:t>
            </w:r>
            <w:r>
              <w:rPr>
                <w:rStyle w:val="52"/>
                <w:rFonts w:hint="default"/>
              </w:rPr>
              <w:br w:type="textWrapping"/>
            </w:r>
            <w:r>
              <w:rPr>
                <w:rStyle w:val="52"/>
                <w:rFonts w:hint="default"/>
              </w:rPr>
              <w:t xml:space="preserve">若无发生换届、重大事项相关内容，则换届备案和重大事项备案不扣分。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□在规定时间内向登记管理机关报送年检资料接受检查（5分）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□未按时向登记管理机关报送年检资料接受检查（0分）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□两年内存在年检基本合格的情况，每一年扣5分，扣完10分为止。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信息公开制度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建立新闻发言人制度(2分)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信息公开内容 </w:t>
            </w:r>
          </w:p>
          <w:p>
            <w:pPr>
              <w:widowControl/>
              <w:jc w:val="center"/>
              <w:textAlignment w:val="center"/>
              <w:rPr>
                <w:rFonts w:ascii="宋体"/>
                <w:sz w:val="18"/>
              </w:rPr>
            </w:pP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□公开收费标准、重大活动信息（4分）</w:t>
            </w:r>
            <w:r>
              <w:rPr>
                <w:rFonts w:hint="eastAsia" w:ascii="宋体" w:hAnsi="宋体" w:cs="宋体"/>
                <w:color w:val="000000"/>
                <w:kern w:val="0"/>
                <w:sz w:val="24"/>
              </w:rPr>
              <w:br w:type="textWrapping"/>
            </w:r>
            <w:r>
              <w:rPr>
                <w:rFonts w:hint="eastAsia" w:ascii="宋体" w:hAnsi="宋体" w:cs="宋体"/>
                <w:color w:val="000000"/>
                <w:kern w:val="0"/>
                <w:sz w:val="24"/>
              </w:rPr>
              <w:t>□仅公开收费标准或大活动信息（2分）                                                                     □未公开收费标准、重大活动信息（0分）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□公开捐赠情况及年度审计报告（4分）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□未公开捐赠信息或年度审计报告（0分）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信息公开方式 </w:t>
            </w:r>
          </w:p>
          <w:p>
            <w:pPr>
              <w:widowControl/>
              <w:jc w:val="center"/>
              <w:textAlignment w:val="center"/>
              <w:rPr>
                <w:rFonts w:ascii="宋体"/>
                <w:sz w:val="18"/>
              </w:rPr>
            </w:pPr>
            <w:r>
              <w:rPr>
                <w:rFonts w:hint="eastAsia" w:ascii="宋体" w:hAnsi="宋体" w:cs="宋体"/>
                <w:color w:val="000000"/>
                <w:kern w:val="0"/>
                <w:sz w:val="24"/>
              </w:rPr>
              <w:t xml:space="preserve"> （5分）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□信息公开方式多样，公开范围能够覆盖组织活动地域（5分）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Style w:val="50"/>
                <w:rFonts w:hint="default"/>
              </w:rPr>
              <w:t>注：信息公开方式主要包括网站、报刊、广播电视、公众号等。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tcPr>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党建工作（100分）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党建工作（100分）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党建工作（100分）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rFonts w:hint="eastAsia"/>
                <w:sz w:val="24"/>
                <w:szCs w:val="24"/>
              </w:rPr>
            </w:pPr>
          </w:p>
          <w:p>
            <w:pPr>
              <w:pStyle w:val="41"/>
              <w:ind w:firstLine="0" w:firstLineChars="0"/>
              <w:rPr>
                <w:sz w:val="24"/>
                <w:szCs w:val="24"/>
              </w:rPr>
            </w:pPr>
            <w:r>
              <w:rPr>
                <w:rFonts w:hint="eastAsia"/>
                <w:sz w:val="24"/>
                <w:szCs w:val="24"/>
              </w:rPr>
              <w:t>党建工作（100分）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两个覆盖（30分）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2"/>
                <w:rFonts w:hint="default"/>
              </w:rPr>
              <w:t>注：指该社会组织工作人员和主要负责人中的党员</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52"/>
                <w:rFonts w:hint="default"/>
              </w:rPr>
              <w:t>注：设立工青妇一项1分；若工作人员数未达到建立要求不扣分。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基础组织建设</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Style w:val="52"/>
                <w:rFonts w:hint="default"/>
              </w:rPr>
              <w:t>注：必须在规定时间内进行换届，但未到换届期限的不扣分。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Style w:val="52"/>
                <w:rFonts w:hint="default"/>
              </w:rPr>
              <w:t>注：负责人为秘书长及以上。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r>
              <w:rPr>
                <w:rFonts w:hint="eastAsia" w:ascii="宋体" w:hAnsi="宋体" w:cs="宋体"/>
                <w:color w:val="000000"/>
                <w:kern w:val="0"/>
                <w:sz w:val="24"/>
              </w:rPr>
              <w:br w:type="textWrapping"/>
            </w:r>
            <w:r>
              <w:rPr>
                <w:rFonts w:hint="eastAsia" w:ascii="宋体" w:hAnsi="宋体" w:cs="宋体"/>
                <w:color w:val="000000"/>
                <w:kern w:val="0"/>
                <w:sz w:val="24"/>
              </w:rPr>
              <w:t>□按基本党章要求，每月开展党员党费收缴（3分）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□未按规定进行年度党组织书记述职、评议、考核，且党员未按期进行民主评议和党员党性定期分析（0分）</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2</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□“三会一课”制度：支部党员大会（每季度）、支部委员会（每月）、党小组（每月）会坚持正常（5分）；未设委员会、党小组的不作扣分项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注：次数以社会组织组建党组织日期按月计算</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基本保障           （16分）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基本保障           （16分）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b/>
                <w:color w:val="000000"/>
                <w:kern w:val="0"/>
                <w:sz w:val="24"/>
              </w:rPr>
              <w:t>注：每缺1项内容扣1分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3</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4</w:t>
            </w:r>
          </w:p>
        </w:tc>
        <w:tc>
          <w:tcPr>
            <w:tcW w:w="1338" w:type="dxa"/>
            <w:vMerge w:val="continue"/>
            <w:vAlign w:val="center"/>
          </w:tcPr>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241" w:type="dxa"/>
            <w:vMerge w:val="restart"/>
          </w:tcPr>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tc>
        <w:tc>
          <w:tcPr>
            <w:tcW w:w="123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会员（代表）大会出席人数和表决人数不符合章程规定（0分）                                                                                                                                               </w:t>
            </w:r>
            <w:r>
              <w:rPr>
                <w:rStyle w:val="50"/>
                <w:rFonts w:hint="default"/>
              </w:rPr>
              <w:t>注：提供会员（代表）大会会议纪要及签到表。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Style w:val="50"/>
                <w:rFonts w:hint="default"/>
              </w:rPr>
              <w:t>注：在会员（代表）大会后15日内,报登记管理机关核准，提供章程核准表。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届内发展规划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Style w:val="43"/>
                <w:rFonts w:hint="default"/>
              </w:rPr>
            </w:pPr>
            <w:r>
              <w:rPr>
                <w:rFonts w:hint="eastAsia" w:ascii="宋体" w:hAnsi="宋体" w:cs="宋体"/>
                <w:b/>
                <w:color w:val="000000"/>
                <w:kern w:val="0"/>
                <w:sz w:val="24"/>
              </w:rPr>
              <w:t>届内发展规划制定</w:t>
            </w:r>
            <w:r>
              <w:rPr>
                <w:rStyle w:val="43"/>
                <w:rFonts w:hint="default"/>
              </w:rPr>
              <w:t>：</w:t>
            </w:r>
            <w:r>
              <w:rPr>
                <w:rStyle w:val="43"/>
                <w:rFonts w:hint="default"/>
              </w:rPr>
              <w:br w:type="textWrapping"/>
            </w:r>
            <w:r>
              <w:rPr>
                <w:rStyle w:val="43"/>
                <w:rFonts w:hint="default"/>
              </w:rPr>
              <w:t>□有独立详细的届内组织发展规划（4分）</w:t>
            </w:r>
            <w:r>
              <w:rPr>
                <w:rStyle w:val="43"/>
                <w:rFonts w:hint="default"/>
              </w:rPr>
              <w:br w:type="textWrapping"/>
            </w:r>
            <w:r>
              <w:rPr>
                <w:rStyle w:val="43"/>
                <w:rFonts w:hint="default"/>
              </w:rPr>
              <w:t>□其他材料能够体现届内组织发展规划内容（2分）</w:t>
            </w:r>
            <w:r>
              <w:rPr>
                <w:rStyle w:val="43"/>
                <w:rFonts w:hint="default"/>
              </w:rPr>
              <w:br w:type="textWrapping"/>
            </w:r>
            <w:r>
              <w:rPr>
                <w:rStyle w:val="43"/>
                <w:rFonts w:hint="default"/>
              </w:rPr>
              <w:t xml:space="preserve">□未制定规划且其他材料不能体现届内组织发展规划内容（0分）  </w:t>
            </w:r>
          </w:p>
          <w:p>
            <w:pPr>
              <w:widowControl/>
              <w:jc w:val="left"/>
              <w:textAlignment w:val="center"/>
              <w:rPr>
                <w:rFonts w:ascii="宋体" w:hAnsi="宋体" w:cs="宋体"/>
                <w:color w:val="000000"/>
                <w:kern w:val="0"/>
                <w:sz w:val="24"/>
              </w:rPr>
            </w:pPr>
            <w:r>
              <w:rPr>
                <w:rStyle w:val="50"/>
                <w:rFonts w:hint="default"/>
              </w:rPr>
              <w:t xml:space="preserve">届内发展规划落实： </w:t>
            </w:r>
            <w:r>
              <w:rPr>
                <w:rStyle w:val="43"/>
                <w:rFonts w:hint="default"/>
              </w:rPr>
              <w:t xml:space="preserve">                                                                                    □落实规划情况很好（6分）                                                               □落实规划情况一般（3分）</w:t>
            </w:r>
            <w:r>
              <w:rPr>
                <w:rStyle w:val="43"/>
                <w:rFonts w:hint="default"/>
              </w:rPr>
              <w:br w:type="textWrapping"/>
            </w:r>
            <w:r>
              <w:rPr>
                <w:rStyle w:val="43"/>
                <w:rFonts w:hint="default"/>
              </w:rPr>
              <w:t xml:space="preserve">□规划未落实（0分）                                                                                </w:t>
            </w:r>
            <w:r>
              <w:rPr>
                <w:rStyle w:val="50"/>
                <w:rFonts w:hint="default"/>
              </w:rPr>
              <w:t>注：将届内规划内容与相关业务活动相对照。</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   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3</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□按章程规定，按时召开会员（代表）大会，2/3以上会员出席（5分）</w:t>
            </w:r>
            <w:r>
              <w:rPr>
                <w:rFonts w:hint="eastAsia" w:ascii="宋体" w:hAnsi="宋体" w:cs="宋体"/>
                <w:color w:val="000000"/>
                <w:kern w:val="0"/>
                <w:sz w:val="24"/>
              </w:rPr>
              <w:br w:type="textWrapping"/>
            </w:r>
            <w:r>
              <w:rPr>
                <w:rFonts w:hint="eastAsia" w:ascii="宋体" w:hAnsi="宋体" w:cs="宋体"/>
                <w:color w:val="000000"/>
                <w:kern w:val="0"/>
                <w:sz w:val="24"/>
              </w:rPr>
              <w:t xml:space="preserve">□ 出席会员人数或表决人数不符合章程规定或未按时召开会议（0分）                                                                                                     </w:t>
            </w:r>
            <w:r>
              <w:rPr>
                <w:rStyle w:val="50"/>
                <w:rFonts w:hint="default"/>
              </w:rPr>
              <w:t>注：如延期召开会员（代表）大会经理事会表决通过，经登记管理机关批准同意的视为按期召开，但延期最长不得超过1年。</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Style w:val="52"/>
                <w:rFonts w:hint="default"/>
              </w:rPr>
              <w:t>注：提前或延期换届经登记管理机关批准同意视为按期换届。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Style w:val="50"/>
                <w:rFonts w:hint="default"/>
              </w:rPr>
              <w:t>注：提供召开理事会会议通过的决议。</w:t>
            </w:r>
            <w:r>
              <w:rPr>
                <w:rStyle w:val="50"/>
                <w:rFonts w:hint="default"/>
              </w:rPr>
              <w:br w:type="textWrapping"/>
            </w:r>
            <w:r>
              <w:rPr>
                <w:rStyle w:val="50"/>
                <w:rFonts w:hint="default"/>
              </w:rPr>
              <w:t xml:space="preserve">重大事项包括章程修改、变更、投资、会费收取标准等。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□会议纪要不详细或无会议纪要（0分）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□未按章程规定，未经理事会或常务理事会决定设立分支（代表）机构（0分）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□有机构管理办法和工作计划、总结（2分）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□未制定机构管理办法和工作计划、总结（0分）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□分支（代表）机构超出授权范围开展活动，或开展活动未冠以本社团名称（0分）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4</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□根据本社团授权发展会员，且不重复收取会费（3分）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□未经本社团授权发展会员或重复收取会费（0分）</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注：按章程规定不设监事会的，不扣分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□有监事会的，监事由3-9人组成（3分）                                                                        □无监事会的，设有1-2名监事（3分）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人力资源管理   （40分）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人才队伍建设   (25分)  </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工作人员数量      (9分)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themeColor="text1"/>
                <w:kern w:val="0"/>
                <w:sz w:val="24"/>
              </w:rPr>
              <w:t>三人及以上为满分，少1人扣3分，扣完为止。</w:t>
            </w:r>
            <w:r>
              <w:rPr>
                <w:rFonts w:hint="eastAsia" w:ascii="宋体" w:hAnsi="宋体" w:cs="宋体"/>
                <w:color w:val="000000"/>
                <w:kern w:val="0"/>
                <w:sz w:val="24"/>
              </w:rPr>
              <w:br w:type="textWrapping"/>
            </w:r>
            <w:r>
              <w:rPr>
                <w:rStyle w:val="52"/>
                <w:rFonts w:hint="default"/>
              </w:rPr>
              <w:t>注：专职工作人员指建立劳动关系并购买社保的工作人员。返聘、劳动关系在其他单位的工作人员，按50%赋分。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□专职工作人员具有职称的达到20%（5分）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人事管理制度   （15分）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Style w:val="52"/>
                <w:rFonts w:hint="default"/>
              </w:rPr>
              <w:t>注：包括薪酬、奖惩、考勤休假、聘用制度、考核制度，每项1分。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领导班子建设</w:t>
            </w:r>
          </w:p>
          <w:p>
            <w:pPr>
              <w:widowControl/>
              <w:jc w:val="center"/>
              <w:textAlignment w:val="center"/>
              <w:rPr>
                <w:rFonts w:ascii="宋体"/>
                <w:sz w:val="18"/>
              </w:rPr>
            </w:pP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59</w:t>
            </w:r>
          </w:p>
        </w:tc>
        <w:tc>
          <w:tcPr>
            <w:tcW w:w="1338" w:type="dxa"/>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□负责人无公务员兼职或退休领导干部任职，或按规定履行报批手（5分）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□负责人有公务员兼职或退休领导干部任职，但未按规定履行报批手（0分）                                                                                                                                </w:t>
            </w:r>
            <w:r>
              <w:rPr>
                <w:rStyle w:val="50"/>
                <w:rFonts w:hint="default"/>
              </w:rPr>
              <w:t>注：负责人指会长、副会长、秘书长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秘书长     （10分）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Style w:val="52"/>
                <w:rFonts w:hint="default"/>
              </w:rPr>
              <w:t xml:space="preserve">注：秘书长专职指秘书长只在本单位任职，并且只担任秘书长职务。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□制定并执行秘书长绩效考核制度，且考核结果优秀(5分)                                                         □制定并执行秘书长绩效考核制度，且考核结果良好(3分)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会员管理（10分）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管理方式    （10分）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□未建立数据库，但有各年会费收取统计表（明细表和汇总表）（1分）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□未建立数据库，并且也未有各年会费收取统计表（明细表和汇总表）（0分）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会员保有</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率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Style w:val="52"/>
                <w:rFonts w:hint="default"/>
              </w:rPr>
              <w:t>注：提供近两年会员总数。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Style w:val="50"/>
                <w:rFonts w:hint="default"/>
              </w:rPr>
              <w:t>存在以下事项的，不得分：</w:t>
            </w:r>
            <w:r>
              <w:rPr>
                <w:rStyle w:val="43"/>
                <w:rFonts w:hint="default"/>
              </w:rPr>
              <w:br w:type="textWrapping"/>
            </w:r>
            <w:r>
              <w:rPr>
                <w:rStyle w:val="43"/>
                <w:rFonts w:hint="default"/>
              </w:rPr>
              <w:t>（1）存在侵占、私分、挪用资产、发生有失公允的关联交易、违规支付佣金或回扣、违规进行资金拆借</w:t>
            </w:r>
            <w:r>
              <w:rPr>
                <w:rStyle w:val="43"/>
                <w:rFonts w:hint="default"/>
              </w:rPr>
              <w:br w:type="textWrapping"/>
            </w:r>
            <w:r>
              <w:rPr>
                <w:rStyle w:val="43"/>
                <w:rFonts w:hint="default"/>
              </w:rPr>
              <w:t>（2）存在账外资金或小金库</w:t>
            </w:r>
            <w:r>
              <w:rPr>
                <w:rStyle w:val="43"/>
                <w:rFonts w:hint="default"/>
              </w:rPr>
              <w:br w:type="textWrapping"/>
            </w:r>
            <w:r>
              <w:rPr>
                <w:rStyle w:val="43"/>
                <w:rFonts w:hint="default"/>
              </w:rPr>
              <w:t>（3）存在违规收费行为，包括违规接受和使用捐赠、资助</w:t>
            </w:r>
            <w:r>
              <w:rPr>
                <w:rStyle w:val="43"/>
                <w:rFonts w:hint="default"/>
              </w:rPr>
              <w:br w:type="textWrapping"/>
            </w:r>
            <w:r>
              <w:rPr>
                <w:rStyle w:val="43"/>
                <w:rFonts w:hint="default"/>
              </w:rPr>
              <w:t xml:space="preserve">（4）存在使用不合规凭证或票据列支费用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6</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□配备2名及以上具有会计证或会计职称的专职工作人员负责财务工作（6分）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法定活动资金</w:t>
            </w:r>
          </w:p>
          <w:p>
            <w:pPr>
              <w:widowControl/>
              <w:jc w:val="center"/>
              <w:textAlignment w:val="center"/>
              <w:rPr>
                <w:rFonts w:ascii="宋体"/>
                <w:sz w:val="18"/>
              </w:rPr>
            </w:pPr>
            <w:r>
              <w:rPr>
                <w:rFonts w:hint="eastAsia" w:ascii="宋体" w:hAnsi="宋体" w:cs="宋体"/>
                <w:color w:val="000000"/>
                <w:kern w:val="0"/>
                <w:sz w:val="24"/>
              </w:rPr>
              <w:t xml:space="preserve"> （10分）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□上年末净资产低于登记注册资金，且发现存在抽逃注册资金行为（0分）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□完全执行《民间非营利组织会计制度》，且会计核算无任何问题（25分）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□执行《民间非营利组织会计制度》，但在财务收支、账算报表、科目设置及科目核算存在问题酌情扣分，扣完25为止。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财务管理执行</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（20分）</w:t>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财务管理执行</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（20分）</w:t>
            </w:r>
          </w:p>
          <w:p>
            <w:pPr>
              <w:widowControl/>
              <w:jc w:val="center"/>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Style w:val="50"/>
                <w:rFonts w:hint="default"/>
              </w:rPr>
              <w:t>注：财务制度详细与否根据《民间非营利组织会计制度》的条款确定。</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7</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□财务制度中有明确规定的支出、审批权限，并且支出、审批手续齐全（5分）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资产增加情况              （12分）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w:t>
            </w:r>
            <w:r>
              <w:rPr>
                <w:rFonts w:hint="eastAsia" w:ascii="宋体" w:hAnsi="宋体" w:cs="宋体"/>
                <w:color w:val="000000"/>
                <w:kern w:val="0"/>
                <w:sz w:val="24"/>
                <w:lang w:eastAsia="zh-CN"/>
              </w:rPr>
              <w:t>两</w:t>
            </w:r>
            <w:r>
              <w:rPr>
                <w:rFonts w:hint="eastAsia" w:ascii="宋体" w:hAnsi="宋体" w:cs="宋体"/>
                <w:color w:val="000000"/>
                <w:kern w:val="0"/>
                <w:sz w:val="24"/>
              </w:rPr>
              <w:t>年，资产增幅高于20%（12分</w:t>
            </w:r>
            <w:r>
              <w:rPr>
                <w:rStyle w:val="43"/>
                <w:rFonts w:hint="default"/>
              </w:rPr>
              <w:t>）</w:t>
            </w:r>
            <w:r>
              <w:rPr>
                <w:rStyle w:val="43"/>
                <w:rFonts w:hint="default"/>
              </w:rPr>
              <w:br w:type="textWrapping"/>
            </w:r>
            <w:r>
              <w:rPr>
                <w:rStyle w:val="43"/>
                <w:rFonts w:hint="default"/>
              </w:rPr>
              <w:t>□近</w:t>
            </w:r>
            <w:r>
              <w:rPr>
                <w:rFonts w:hint="eastAsia" w:ascii="宋体" w:hAnsi="宋体" w:cs="宋体"/>
                <w:color w:val="000000"/>
                <w:kern w:val="0"/>
                <w:sz w:val="24"/>
                <w:lang w:eastAsia="zh-CN"/>
              </w:rPr>
              <w:t>两</w:t>
            </w:r>
            <w:r>
              <w:rPr>
                <w:rStyle w:val="43"/>
                <w:rFonts w:hint="default"/>
              </w:rPr>
              <w:t>年，资产增幅高于10%（10分）</w:t>
            </w:r>
            <w:r>
              <w:rPr>
                <w:rStyle w:val="43"/>
                <w:rFonts w:hint="default"/>
              </w:rPr>
              <w:br w:type="textWrapping"/>
            </w:r>
            <w:r>
              <w:rPr>
                <w:rStyle w:val="43"/>
                <w:rFonts w:hint="default"/>
              </w:rPr>
              <w:t>□近</w:t>
            </w:r>
            <w:r>
              <w:rPr>
                <w:rFonts w:hint="eastAsia" w:ascii="宋体" w:hAnsi="宋体" w:cs="宋体"/>
                <w:color w:val="000000"/>
                <w:kern w:val="0"/>
                <w:sz w:val="24"/>
                <w:lang w:eastAsia="zh-CN"/>
              </w:rPr>
              <w:t>两</w:t>
            </w:r>
            <w:r>
              <w:rPr>
                <w:rStyle w:val="43"/>
                <w:rFonts w:hint="default"/>
              </w:rPr>
              <w:t>年，资产增幅高于5%（5分）</w:t>
            </w:r>
            <w:r>
              <w:rPr>
                <w:rStyle w:val="43"/>
                <w:rFonts w:hint="default"/>
              </w:rPr>
              <w:br w:type="textWrapping"/>
            </w:r>
            <w:r>
              <w:rPr>
                <w:rStyle w:val="43"/>
                <w:rFonts w:hint="default"/>
              </w:rPr>
              <w:t>□近</w:t>
            </w:r>
            <w:r>
              <w:rPr>
                <w:rFonts w:hint="eastAsia" w:ascii="宋体" w:hAnsi="宋体" w:cs="宋体"/>
                <w:color w:val="000000"/>
                <w:kern w:val="0"/>
                <w:sz w:val="24"/>
                <w:lang w:eastAsia="zh-CN"/>
              </w:rPr>
              <w:t>两</w:t>
            </w:r>
            <w:r>
              <w:rPr>
                <w:rStyle w:val="43"/>
                <w:rFonts w:hint="default"/>
              </w:rPr>
              <w:t>年，资产增幅低于5%（0分）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投资核算管理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8</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□按章程规定每年向会员大会、理事会报告组织财务状况（10分）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□未按章程规定每年向报告会员大会、理事会报告组织财务状况（0分）                                                                                                                                                            </w:t>
            </w:r>
            <w:r>
              <w:rPr>
                <w:rFonts w:hint="eastAsia" w:ascii="宋体" w:hAnsi="宋体" w:cs="宋体"/>
                <w:color w:val="000000"/>
                <w:kern w:val="0"/>
                <w:sz w:val="24"/>
              </w:rPr>
              <w:br w:type="textWrapping"/>
            </w:r>
            <w:r>
              <w:rPr>
                <w:rStyle w:val="50"/>
                <w:rFonts w:hint="default"/>
              </w:rPr>
              <w:t>注：财务状况应包括资金来源和使用、业务活动资金、资产情况。</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89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年度审计</w:t>
            </w:r>
            <w:r>
              <w:rPr>
                <w:rStyle w:val="43"/>
                <w:rFonts w:hint="default"/>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r>
              <w:rPr>
                <w:rStyle w:val="43"/>
                <w:rFonts w:hint="default"/>
              </w:rPr>
              <w:br w:type="textWrapping"/>
            </w:r>
            <w:r>
              <w:rPr>
                <w:rStyle w:val="50"/>
                <w:rFonts w:hint="default"/>
              </w:rPr>
              <w:t>离任审计</w:t>
            </w:r>
            <w:r>
              <w:rPr>
                <w:rStyle w:val="43"/>
                <w:rFonts w:hint="default"/>
              </w:rPr>
              <w:t xml:space="preserve">                                                                              □无离任或能提供离任审计报告（5分）</w:t>
            </w:r>
            <w:r>
              <w:rPr>
                <w:rStyle w:val="43"/>
                <w:rFonts w:hint="default"/>
              </w:rPr>
              <w:br w:type="textWrapping"/>
            </w:r>
            <w:r>
              <w:rPr>
                <w:rStyle w:val="43"/>
                <w:rFonts w:hint="default"/>
              </w:rPr>
              <w:t>□出现离任但不能提供离任审计报告（0分）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案印章管理</w:t>
            </w:r>
          </w:p>
          <w:p>
            <w:pPr>
              <w:widowControl/>
              <w:jc w:val="center"/>
              <w:textAlignment w:val="center"/>
              <w:rPr>
                <w:rFonts w:ascii="宋体"/>
                <w:sz w:val="18"/>
              </w:rPr>
            </w:pPr>
            <w:r>
              <w:rPr>
                <w:rFonts w:hint="eastAsia" w:ascii="宋体" w:hAnsi="宋体" w:cs="宋体"/>
                <w:color w:val="000000"/>
                <w:kern w:val="0"/>
                <w:sz w:val="24"/>
              </w:rPr>
              <w:t>（20分）</w:t>
            </w:r>
          </w:p>
        </w:tc>
        <w:tc>
          <w:tcPr>
            <w:tcW w:w="1297" w:type="dxa"/>
            <w:vMerge w:val="restart"/>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档案管理    （10分）    </w:t>
            </w:r>
          </w:p>
          <w:p>
            <w:pPr>
              <w:widowControl/>
              <w:jc w:val="center"/>
              <w:textAlignment w:val="center"/>
              <w:rPr>
                <w:rFonts w:ascii="宋体"/>
                <w:sz w:val="18"/>
              </w:rPr>
            </w:pPr>
            <w:r>
              <w:rPr>
                <w:rFonts w:hint="eastAsia" w:ascii="宋体" w:hAnsi="宋体" w:cs="宋体"/>
                <w:color w:val="000000"/>
                <w:kern w:val="0"/>
                <w:sz w:val="24"/>
              </w:rPr>
              <w:t xml:space="preserve"> </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Borders/>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档案保管情况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continue"/>
            <w:tcBorders/>
            <w:vAlign w:val="center"/>
          </w:tcPr>
          <w:p>
            <w:pPr>
              <w:widowControl/>
              <w:jc w:val="center"/>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□会计凭证、账本、报表及其他会计资料未装订整齐(0分)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pStyle w:val="41"/>
              <w:rPr>
                <w:rFonts w:hint="eastAsia" w:ascii="宋体" w:hAnsi="宋体" w:cs="宋体"/>
                <w:color w:val="000000"/>
                <w:kern w:val="0"/>
                <w:sz w:val="24"/>
              </w:rPr>
            </w:pPr>
          </w:p>
          <w:p>
            <w:pPr>
              <w:pStyle w:val="41"/>
              <w:rPr>
                <w:rFonts w:hint="eastAsia" w:ascii="宋体" w:hAnsi="宋体" w:cs="宋体"/>
                <w:color w:val="000000"/>
                <w:kern w:val="0"/>
                <w:sz w:val="24"/>
              </w:rPr>
            </w:pPr>
          </w:p>
          <w:p>
            <w:pPr>
              <w:pStyle w:val="41"/>
              <w:ind w:left="0" w:leftChars="0" w:firstLine="0" w:firstLineChars="0"/>
              <w:jc w:val="center"/>
              <w:rPr>
                <w:rFonts w:hint="eastAsia" w:ascii="宋体" w:hAnsi="宋体" w:cs="宋体"/>
                <w:color w:val="000000"/>
                <w:kern w:val="0"/>
                <w:sz w:val="24"/>
              </w:rPr>
            </w:pPr>
          </w:p>
          <w:p>
            <w:pPr>
              <w:pStyle w:val="41"/>
              <w:ind w:left="0" w:leftChars="0" w:firstLine="0" w:firstLineChars="0"/>
              <w:jc w:val="center"/>
              <w:rPr>
                <w:szCs w:val="18"/>
              </w:rPr>
            </w:pPr>
            <w:r>
              <w:rPr>
                <w:rFonts w:hint="eastAsia" w:ascii="宋体" w:hAnsi="宋体" w:cs="宋体"/>
                <w:color w:val="000000"/>
                <w:kern w:val="0"/>
                <w:sz w:val="24"/>
              </w:rPr>
              <w:t>印章管理      (10分)</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Style w:val="50"/>
                <w:rFonts w:hint="default"/>
              </w:rPr>
              <w:t>注:印章包含公章及财务章。</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textAlignment w:val="center"/>
              <w:rPr>
                <w:rFonts w:ascii="宋体"/>
                <w:sz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textAlignment w:val="center"/>
              <w:rPr>
                <w:rFonts w:ascii="宋体" w:hAnsi="宋体" w:cs="宋体"/>
                <w:color w:val="000000"/>
                <w:kern w:val="0"/>
                <w:sz w:val="24"/>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开展专业性活动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 □每场专业性活动5分，满分20分。                                                                      </w:t>
            </w:r>
            <w:r>
              <w:rPr>
                <w:rStyle w:val="52"/>
                <w:rFonts w:hint="default"/>
              </w:rPr>
              <w:t>注：行业活动包括交易会、展览会、研讨会等。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组织培训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□开展相关业务培训或继续教育1次4分，满分20分。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9</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□提供技术、经济、管理、法律咨询等事项1次2分，共计10分。                                            </w:t>
            </w:r>
            <w:r>
              <w:rPr>
                <w:rStyle w:val="52"/>
                <w:rFonts w:hint="default"/>
              </w:rPr>
              <w:t>注：咨询项目必须提供合同或正式文件。</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会员表彰活动</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□依照文件规定并按规定程序经业务主管单位和登记管理机关批准，在会员内开展评比达标表彰活动（10分）</w:t>
            </w:r>
            <w:r>
              <w:rPr>
                <w:rFonts w:hint="eastAsia" w:ascii="宋体" w:hAnsi="宋体" w:cs="宋体"/>
                <w:color w:val="000000"/>
                <w:kern w:val="0"/>
                <w:sz w:val="24"/>
              </w:rPr>
              <w:br w:type="textWrapping"/>
            </w:r>
            <w:r>
              <w:rPr>
                <w:rFonts w:hint="eastAsia" w:ascii="宋体" w:hAnsi="宋体" w:cs="宋体"/>
                <w:color w:val="000000"/>
                <w:kern w:val="0"/>
                <w:sz w:val="24"/>
              </w:rPr>
              <w:t>□未在会员内开展评比达标表彰活动（0分）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□积极为会员搭建交流平台，提供信息交流、共享服务有刊物、网站，并取得显著效益（10分）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Style w:val="52"/>
                <w:rFonts w:hint="default"/>
              </w:rPr>
              <w:t>注：显著效益需提供相关行业、会员因交流平台而取得的收益证明。</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1</w:t>
            </w:r>
          </w:p>
        </w:tc>
        <w:tc>
          <w:tcPr>
            <w:tcW w:w="1338"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代表会员参加集体谈判</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□代表会员参与集体谈判1次2分，满分10分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□组织相关业务活动制度化，并效益显著（20分）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Style w:val="52"/>
                <w:rFonts w:hint="default"/>
              </w:rPr>
              <w:t>注：制度化指组织业务活动持续三年以上，且活动人数在100人以上。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pStyle w:val="41"/>
              <w:ind w:left="0" w:leftChars="0" w:firstLine="0" w:firstLineChars="0"/>
              <w:rPr>
                <w:rFonts w:hint="eastAsia" w:ascii="宋体" w:hAnsi="宋体" w:cs="宋体"/>
                <w:color w:val="000000"/>
                <w:kern w:val="0"/>
                <w:sz w:val="24"/>
              </w:rPr>
            </w:pPr>
          </w:p>
          <w:p>
            <w:pPr>
              <w:pStyle w:val="41"/>
              <w:ind w:left="0" w:leftChars="0" w:firstLine="0" w:firstLineChars="0"/>
              <w:rPr>
                <w:rFonts w:hint="eastAsia" w:ascii="宋体" w:hAnsi="宋体" w:cs="宋体"/>
                <w:color w:val="000000"/>
                <w:kern w:val="0"/>
                <w:sz w:val="24"/>
              </w:rPr>
            </w:pPr>
          </w:p>
          <w:p>
            <w:pPr>
              <w:pStyle w:val="41"/>
              <w:ind w:left="0" w:leftChars="0" w:firstLine="0" w:firstLineChars="0"/>
              <w:rPr>
                <w:rFonts w:hint="eastAsia" w:ascii="宋体" w:hAnsi="宋体" w:cs="宋体"/>
                <w:color w:val="000000"/>
                <w:kern w:val="0"/>
                <w:sz w:val="24"/>
              </w:rPr>
            </w:pPr>
          </w:p>
          <w:p>
            <w:pPr>
              <w:pStyle w:val="41"/>
              <w:ind w:left="0" w:leftChars="0" w:firstLine="0" w:firstLineChars="0"/>
              <w:jc w:val="center"/>
              <w:rPr>
                <w:szCs w:val="18"/>
              </w:rPr>
            </w:pPr>
            <w:r>
              <w:rPr>
                <w:rFonts w:hint="eastAsia" w:ascii="宋体" w:hAnsi="宋体" w:cs="宋体"/>
                <w:color w:val="000000"/>
                <w:kern w:val="0"/>
                <w:sz w:val="24"/>
              </w:rPr>
              <w:t>服务</w:t>
            </w:r>
            <w:r>
              <w:rPr>
                <w:rFonts w:hint="eastAsia" w:hAnsi="宋体" w:cs="宋体"/>
                <w:color w:val="000000"/>
                <w:kern w:val="0"/>
                <w:sz w:val="24"/>
                <w:lang w:eastAsia="zh-CN"/>
              </w:rPr>
              <w:t>政府</w:t>
            </w:r>
            <w:r>
              <w:rPr>
                <w:rFonts w:hint="eastAsia" w:ascii="宋体" w:hAnsi="宋体" w:cs="宋体"/>
                <w:color w:val="000000"/>
                <w:kern w:val="0"/>
                <w:sz w:val="24"/>
              </w:rPr>
              <w:t xml:space="preserve">          （50）</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参与政策制定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反映会员利益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□代表会员向政府部门反映涉及会员相关利益1次2分，满分10分。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□承接政府委托、购买、转移服务项目1项5分，满分20分                                                         </w:t>
            </w:r>
            <w:r>
              <w:rPr>
                <w:rStyle w:val="50"/>
                <w:rFonts w:hint="default"/>
              </w:rPr>
              <w:t>注：近两年承接政府项目总数。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承接项目金额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Style w:val="50"/>
                <w:rFonts w:hint="default"/>
              </w:rPr>
              <w:t>注：近两年承接政府项目总额。</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服务社会           （50）  </w:t>
            </w: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□开展下述公益活动每次4</w:t>
            </w:r>
            <w:r>
              <w:rPr>
                <w:rFonts w:hint="eastAsia" w:ascii="宋体" w:hAnsi="宋体" w:cs="宋体"/>
                <w:color w:val="000000"/>
                <w:kern w:val="0"/>
                <w:sz w:val="24"/>
                <w:lang w:eastAsia="zh-CN"/>
              </w:rPr>
              <w:t>分</w:t>
            </w:r>
            <w:r>
              <w:rPr>
                <w:rFonts w:hint="eastAsia" w:ascii="宋体" w:hAnsi="宋体" w:cs="宋体"/>
                <w:color w:val="000000"/>
                <w:kern w:val="0"/>
                <w:sz w:val="24"/>
              </w:rPr>
              <w:t>，满分20分。</w:t>
            </w:r>
            <w:r>
              <w:rPr>
                <w:rFonts w:hint="eastAsia" w:ascii="宋体" w:hAnsi="宋体" w:cs="宋体"/>
                <w:color w:val="000000"/>
                <w:kern w:val="0"/>
                <w:sz w:val="24"/>
              </w:rPr>
              <w:br w:type="textWrapping"/>
            </w:r>
            <w:r>
              <w:rPr>
                <w:rStyle w:val="52"/>
                <w:rFonts w:hint="default"/>
              </w:rPr>
              <w:t>注：公益活动覆盖领域包括扶贫、文化保护、社会救助、环境保护等。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10</w:t>
            </w:r>
            <w:r>
              <w:rPr>
                <w:rFonts w:hint="eastAsia" w:ascii="宋体" w:hAnsi="宋体" w:cs="宋体"/>
                <w:color w:val="000000"/>
                <w:kern w:val="0"/>
                <w:sz w:val="24"/>
                <w:lang w:val="en-US" w:eastAsia="zh-CN"/>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重大突发公共事件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Style w:val="52"/>
                <w:rFonts w:hint="default"/>
              </w:rPr>
              <w:t>注：提供相关证明材料供专家评定。无重大突发公共事件不扣分。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项目开发与运作</w:t>
            </w:r>
            <w:r>
              <w:rPr>
                <w:rFonts w:hint="eastAsia" w:ascii="宋体" w:hAnsi="宋体" w:cs="宋体"/>
                <w:color w:val="000000"/>
                <w:kern w:val="0"/>
                <w:sz w:val="24"/>
              </w:rPr>
              <w:br w:type="textWrapping"/>
            </w:r>
            <w:r>
              <w:rPr>
                <w:rFonts w:hint="eastAsia" w:ascii="宋体" w:hAnsi="宋体" w:cs="宋体"/>
                <w:color w:val="000000"/>
                <w:kern w:val="0"/>
                <w:sz w:val="24"/>
              </w:rPr>
              <w:t>（100分）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项目开发与运作</w:t>
            </w:r>
            <w:r>
              <w:rPr>
                <w:rFonts w:hint="eastAsia" w:ascii="宋体" w:hAnsi="宋体" w:cs="宋体"/>
                <w:color w:val="000000"/>
                <w:kern w:val="0"/>
                <w:sz w:val="24"/>
              </w:rPr>
              <w:br w:type="textWrapping"/>
            </w:r>
            <w:r>
              <w:rPr>
                <w:rFonts w:hint="eastAsia" w:ascii="宋体" w:hAnsi="宋体" w:cs="宋体"/>
                <w:color w:val="000000"/>
                <w:kern w:val="0"/>
                <w:sz w:val="24"/>
              </w:rPr>
              <w:t>（100分）</w:t>
            </w: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项目管理</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项目管理制度</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□建立健全了详细、科学、有效的项目管理制度（10分）</w:t>
            </w:r>
            <w:r>
              <w:rPr>
                <w:rFonts w:hint="eastAsia" w:ascii="宋体" w:hAnsi="宋体" w:cs="宋体"/>
                <w:color w:val="000000"/>
                <w:kern w:val="0"/>
                <w:sz w:val="24"/>
              </w:rPr>
              <w:br w:type="textWrapping"/>
            </w:r>
            <w:r>
              <w:rPr>
                <w:rFonts w:hint="eastAsia" w:ascii="宋体" w:hAnsi="宋体" w:cs="宋体"/>
                <w:color w:val="000000"/>
                <w:kern w:val="0"/>
                <w:sz w:val="24"/>
              </w:rPr>
              <w:t>□建立了项目管理制度，但内容较为简单（5分）</w:t>
            </w:r>
            <w:r>
              <w:rPr>
                <w:rFonts w:hint="eastAsia" w:ascii="宋体" w:hAnsi="宋体" w:cs="宋体"/>
                <w:color w:val="000000"/>
                <w:kern w:val="0"/>
                <w:sz w:val="24"/>
              </w:rPr>
              <w:br w:type="textWrapping"/>
            </w:r>
            <w:r>
              <w:rPr>
                <w:rFonts w:hint="eastAsia" w:ascii="宋体" w:hAnsi="宋体" w:cs="宋体"/>
                <w:color w:val="000000"/>
                <w:kern w:val="0"/>
                <w:sz w:val="24"/>
              </w:rPr>
              <w:t>□未建立项目管理制度（0分）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项目方案</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□每个项目均制定规范、详细的运作方案（10分）</w:t>
            </w:r>
            <w:r>
              <w:rPr>
                <w:rFonts w:hint="eastAsia" w:ascii="宋体" w:hAnsi="宋体" w:cs="宋体"/>
                <w:color w:val="000000"/>
                <w:kern w:val="0"/>
                <w:sz w:val="24"/>
              </w:rPr>
              <w:br w:type="textWrapping"/>
            </w:r>
            <w:r>
              <w:rPr>
                <w:rFonts w:hint="eastAsia" w:ascii="宋体" w:hAnsi="宋体" w:cs="宋体"/>
                <w:color w:val="000000"/>
                <w:kern w:val="0"/>
                <w:sz w:val="24"/>
              </w:rPr>
              <w:t>□项目制定了活动计划，但内容较为简单（5分）</w:t>
            </w:r>
            <w:r>
              <w:rPr>
                <w:rFonts w:hint="eastAsia" w:ascii="宋体" w:hAnsi="宋体" w:cs="宋体"/>
                <w:color w:val="000000"/>
                <w:kern w:val="0"/>
                <w:sz w:val="24"/>
              </w:rPr>
              <w:br w:type="textWrapping"/>
            </w:r>
            <w:r>
              <w:rPr>
                <w:rFonts w:hint="eastAsia" w:ascii="宋体" w:hAnsi="宋体" w:cs="宋体"/>
                <w:color w:val="000000"/>
                <w:kern w:val="0"/>
                <w:sz w:val="24"/>
              </w:rPr>
              <w:t>□项目未制定活动计划（0分）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11</w:t>
            </w:r>
            <w:r>
              <w:rPr>
                <w:rFonts w:hint="eastAsia" w:ascii="宋体" w:hAnsi="宋体" w:cs="宋体"/>
                <w:color w:val="000000"/>
                <w:kern w:val="0"/>
                <w:sz w:val="24"/>
                <w:lang w:val="en-US" w:eastAsia="zh-CN"/>
              </w:rPr>
              <w:t>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项目合同</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□公益项目均签订合同，并严格按合同履行责任（10分）</w:t>
            </w:r>
            <w:r>
              <w:rPr>
                <w:rFonts w:hint="eastAsia" w:ascii="宋体" w:hAnsi="宋体" w:cs="宋体"/>
                <w:color w:val="000000"/>
                <w:kern w:val="0"/>
                <w:sz w:val="24"/>
              </w:rPr>
              <w:br w:type="textWrapping"/>
            </w:r>
            <w:r>
              <w:rPr>
                <w:rFonts w:hint="eastAsia" w:ascii="宋体" w:hAnsi="宋体" w:cs="宋体"/>
                <w:color w:val="000000"/>
                <w:kern w:val="0"/>
                <w:sz w:val="24"/>
              </w:rPr>
              <w:t>□公益项目均签订了合同，能较好地履行合同（5分）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□公益项目为签订合同或未按合同履行责任（0分）                                                </w:t>
            </w:r>
            <w:r>
              <w:rPr>
                <w:rStyle w:val="52"/>
                <w:rFonts w:hint="default"/>
              </w:rPr>
              <w:t>注：若无合同但具有法律效力的其他证明材料也可算作合同。</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总结评估</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□项目完成后有详细的总结和意见反馈（10分）</w:t>
            </w:r>
            <w:r>
              <w:rPr>
                <w:rFonts w:hint="eastAsia" w:ascii="宋体" w:hAnsi="宋体" w:cs="宋体"/>
                <w:color w:val="000000"/>
                <w:kern w:val="0"/>
                <w:sz w:val="24"/>
              </w:rPr>
              <w:br w:type="textWrapping"/>
            </w:r>
            <w:r>
              <w:rPr>
                <w:rFonts w:hint="eastAsia" w:ascii="宋体" w:hAnsi="宋体" w:cs="宋体"/>
                <w:color w:val="000000"/>
                <w:kern w:val="0"/>
                <w:sz w:val="24"/>
              </w:rPr>
              <w:t>□项目完成后有简单的总结和意见反馈（5分）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□项目完成或无总结或意见反馈（0分）                                                           </w:t>
            </w:r>
            <w:r>
              <w:rPr>
                <w:rStyle w:val="52"/>
                <w:rFonts w:hint="default"/>
              </w:rPr>
              <w:t>注：若组织未承接过任何项目，此项得满分。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项目成效   （60分）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项目适当性</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□项目符合章程规定的业务范围，得到社会的广泛认同（10分）                                                          □项目符合章程规定的业务范围，得到社会认同（5分）</w:t>
            </w:r>
            <w:r>
              <w:rPr>
                <w:rFonts w:hint="eastAsia" w:ascii="宋体" w:hAnsi="宋体" w:cs="宋体"/>
                <w:color w:val="000000"/>
                <w:kern w:val="0"/>
                <w:sz w:val="24"/>
              </w:rPr>
              <w:br w:type="textWrapping"/>
            </w:r>
            <w:r>
              <w:rPr>
                <w:rFonts w:hint="eastAsia" w:ascii="宋体" w:hAnsi="宋体" w:cs="宋体"/>
                <w:color w:val="000000"/>
                <w:kern w:val="0"/>
                <w:sz w:val="24"/>
              </w:rPr>
              <w:t>□项目不符合章程规定的业务范围（0分）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项目可持续性</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□项目已经持续发展3年及以上（10分）</w:t>
            </w:r>
            <w:r>
              <w:rPr>
                <w:rFonts w:hint="eastAsia" w:ascii="宋体" w:hAnsi="宋体" w:cs="宋体"/>
                <w:color w:val="000000"/>
                <w:kern w:val="0"/>
                <w:sz w:val="24"/>
              </w:rPr>
              <w:br w:type="textWrapping"/>
            </w:r>
            <w:r>
              <w:rPr>
                <w:rFonts w:hint="eastAsia" w:ascii="宋体" w:hAnsi="宋体" w:cs="宋体"/>
                <w:color w:val="000000"/>
                <w:kern w:val="0"/>
                <w:sz w:val="24"/>
              </w:rPr>
              <w:t>□项目持续发展2年及以上（5分）</w:t>
            </w:r>
            <w:r>
              <w:rPr>
                <w:rFonts w:hint="eastAsia" w:ascii="宋体" w:hAnsi="宋体" w:cs="宋体"/>
                <w:color w:val="000000"/>
                <w:kern w:val="0"/>
                <w:sz w:val="24"/>
              </w:rPr>
              <w:br w:type="textWrapping"/>
            </w:r>
            <w:r>
              <w:rPr>
                <w:rFonts w:hint="eastAsia" w:ascii="宋体" w:hAnsi="宋体" w:cs="宋体"/>
                <w:color w:val="000000"/>
                <w:kern w:val="0"/>
                <w:sz w:val="24"/>
              </w:rPr>
              <w:t>□项目持续仅开展1年（0分）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项目效果</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Style w:val="52"/>
                <w:rFonts w:hint="default"/>
              </w:rPr>
            </w:pPr>
            <w:r>
              <w:rPr>
                <w:rFonts w:hint="eastAsia" w:ascii="宋体" w:hAnsi="宋体" w:cs="宋体"/>
                <w:color w:val="000000"/>
                <w:kern w:val="0"/>
                <w:sz w:val="24"/>
              </w:rPr>
              <w:t>□项目社会效益显著（20分）</w:t>
            </w:r>
            <w:r>
              <w:rPr>
                <w:rFonts w:hint="eastAsia" w:ascii="宋体" w:hAnsi="宋体" w:cs="宋体"/>
                <w:color w:val="000000"/>
                <w:kern w:val="0"/>
                <w:sz w:val="24"/>
              </w:rPr>
              <w:br w:type="textWrapping"/>
            </w:r>
            <w:r>
              <w:rPr>
                <w:rFonts w:hint="eastAsia" w:ascii="宋体" w:hAnsi="宋体" w:cs="宋体"/>
                <w:color w:val="000000"/>
                <w:kern w:val="0"/>
                <w:sz w:val="24"/>
              </w:rPr>
              <w:t>□项目社会效益较好（10分）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□项目社会效益较小（0分）                                                                                           </w:t>
            </w:r>
            <w:r>
              <w:rPr>
                <w:rStyle w:val="52"/>
                <w:rFonts w:hint="default"/>
              </w:rPr>
              <w:t>注：社会效益显著可从项目受益人群、项目的持续时间、社会大众的认知度、对所关注的社会领域或社会问题产生的影响进行判断。</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项目影响力</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□社会知名度高，获得省级以上权威媒体报道（20分）</w:t>
            </w:r>
            <w:r>
              <w:rPr>
                <w:rFonts w:hint="eastAsia" w:ascii="宋体" w:hAnsi="宋体" w:cs="宋体"/>
                <w:color w:val="000000"/>
                <w:kern w:val="0"/>
                <w:sz w:val="24"/>
              </w:rPr>
              <w:br w:type="textWrapping"/>
            </w:r>
            <w:r>
              <w:rPr>
                <w:rFonts w:hint="eastAsia" w:ascii="宋体" w:hAnsi="宋体" w:cs="宋体"/>
                <w:color w:val="000000"/>
                <w:kern w:val="0"/>
                <w:sz w:val="24"/>
              </w:rPr>
              <w:t>□有一定社会影响力，获得地方媒体报道（10分）</w:t>
            </w:r>
            <w:r>
              <w:rPr>
                <w:rFonts w:hint="eastAsia" w:ascii="宋体" w:hAnsi="宋体" w:cs="宋体"/>
                <w:color w:val="000000"/>
                <w:kern w:val="0"/>
                <w:sz w:val="24"/>
              </w:rPr>
              <w:br w:type="textWrapping"/>
            </w:r>
            <w:r>
              <w:rPr>
                <w:rFonts w:hint="eastAsia" w:ascii="宋体" w:hAnsi="宋体" w:cs="宋体"/>
                <w:color w:val="000000"/>
                <w:kern w:val="0"/>
                <w:sz w:val="24"/>
              </w:rPr>
              <w:t>□缺乏社会影响力或项目无知名度（0分）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自律活动（20分）</w:t>
            </w: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规范行为    (20分)</w:t>
            </w: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会员服务标准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□制定会员服务标准，且执行效果好（10分）</w:t>
            </w:r>
            <w:r>
              <w:rPr>
                <w:rFonts w:hint="eastAsia" w:ascii="宋体" w:hAnsi="宋体" w:cs="宋体"/>
                <w:color w:val="000000"/>
                <w:kern w:val="0"/>
                <w:sz w:val="24"/>
              </w:rPr>
              <w:br w:type="textWrapping"/>
            </w:r>
            <w:r>
              <w:rPr>
                <w:rFonts w:hint="eastAsia" w:ascii="宋体" w:hAnsi="宋体" w:cs="宋体"/>
                <w:color w:val="000000"/>
                <w:kern w:val="0"/>
                <w:sz w:val="24"/>
              </w:rPr>
              <w:t>□制定会员服务标准，但执行效果一般（5分）</w:t>
            </w:r>
            <w:r>
              <w:rPr>
                <w:rFonts w:hint="eastAsia" w:ascii="宋体" w:hAnsi="宋体" w:cs="宋体"/>
                <w:color w:val="000000"/>
                <w:kern w:val="0"/>
                <w:sz w:val="24"/>
              </w:rPr>
              <w:br w:type="textWrapping"/>
            </w:r>
            <w:r>
              <w:rPr>
                <w:rFonts w:hint="eastAsia" w:ascii="宋体" w:hAnsi="宋体" w:cs="宋体"/>
                <w:color w:val="000000"/>
                <w:kern w:val="0"/>
                <w:sz w:val="24"/>
              </w:rPr>
              <w:t>□未制定会员服务标准执行效果差（0分)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自律性管理活动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□制订自律准则，且切实开展自律性管理活动（10分）</w:t>
            </w:r>
            <w:r>
              <w:rPr>
                <w:rFonts w:hint="eastAsia" w:ascii="宋体" w:hAnsi="宋体" w:cs="宋体"/>
                <w:color w:val="000000"/>
                <w:kern w:val="0"/>
                <w:sz w:val="24"/>
              </w:rPr>
              <w:br w:type="textWrapping"/>
            </w:r>
            <w:r>
              <w:rPr>
                <w:rFonts w:hint="eastAsia" w:ascii="宋体" w:hAnsi="宋体" w:cs="宋体"/>
                <w:color w:val="000000"/>
                <w:kern w:val="0"/>
                <w:sz w:val="24"/>
              </w:rPr>
              <w:t>□制定自律准则，但有开展自律性管理活动（5分）</w:t>
            </w:r>
            <w:r>
              <w:rPr>
                <w:rFonts w:hint="eastAsia" w:ascii="宋体" w:hAnsi="宋体" w:cs="宋体"/>
                <w:color w:val="000000"/>
                <w:kern w:val="0"/>
                <w:sz w:val="24"/>
              </w:rPr>
              <w:br w:type="textWrapping"/>
            </w:r>
            <w:r>
              <w:rPr>
                <w:rFonts w:hint="eastAsia" w:ascii="宋体" w:hAnsi="宋体" w:cs="宋体"/>
                <w:color w:val="000000"/>
                <w:kern w:val="0"/>
                <w:sz w:val="24"/>
              </w:rPr>
              <w:t>□未制定自律公约或或开展自律性管理活动（0分）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Align w:val="center"/>
          </w:tcPr>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特色工作（20分）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Style w:val="50"/>
                <w:rFonts w:hint="default"/>
              </w:rPr>
            </w:pPr>
            <w:r>
              <w:rPr>
                <w:rFonts w:hint="eastAsia" w:ascii="宋体" w:hAnsi="宋体" w:cs="宋体"/>
                <w:color w:val="000000"/>
                <w:kern w:val="0"/>
                <w:sz w:val="24"/>
              </w:rPr>
              <w:t>□完成指标未涵盖部分，且业绩十分突出、代表某种发展方向的工作(20分)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□完成指标未涵盖部分，业绩较突出(10分)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□没有完成指标未涵盖部分(0分)                                                            </w:t>
            </w:r>
            <w:r>
              <w:rPr>
                <w:rStyle w:val="50"/>
                <w:rFonts w:hint="default"/>
              </w:rPr>
              <w:t>注：由评估专家利用自身专业优势评定。</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社会评价（80分）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sz w:val="18"/>
              </w:rPr>
            </w:pPr>
            <w:r>
              <w:rPr>
                <w:rFonts w:hint="eastAsia" w:ascii="宋体" w:hAnsi="宋体" w:cs="宋体"/>
                <w:color w:val="000000"/>
                <w:kern w:val="0"/>
                <w:sz w:val="24"/>
              </w:rPr>
              <w:t>（80分）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政府有关部门评价    （10分）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□获得政府有关部门表彰一次，满分10分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□未获得政府有关部门表彰（0分）                                                                                    </w:t>
            </w:r>
            <w:r>
              <w:rPr>
                <w:rStyle w:val="52"/>
                <w:rFonts w:hint="default"/>
              </w:rPr>
              <w:t>注：表彰需出示正式文件或证书。</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业务主管单位评价（15）</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Style w:val="52"/>
                <w:rFonts w:hint="default"/>
              </w:rPr>
              <w:t>注：若章程中无业务主管单位不扣分。</w:t>
            </w:r>
            <w:bookmarkStart w:id="0" w:name="_GoBack"/>
            <w:bookmarkEnd w:id="0"/>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□获得省级以上部门对社会团体奖励表彰，或获得省级以上媒体正面报道（10分）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□未获得省级以上部门对社会团体奖励表彰，且未获得省级媒体的正面报道（0分）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bl>
    <w:p>
      <w:pPr>
        <w:pStyle w:val="41"/>
      </w:pPr>
    </w:p>
    <w:p>
      <w:pPr>
        <w:pStyle w:val="41"/>
        <w:sectPr>
          <w:footerReference r:id="rId3" w:type="default"/>
          <w:pgSz w:w="16838" w:h="11906" w:orient="landscape"/>
          <w:pgMar w:top="1417" w:right="567" w:bottom="1134" w:left="850"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922AD"/>
    <w:rsid w:val="000211BD"/>
    <w:rsid w:val="00073BD9"/>
    <w:rsid w:val="00086271"/>
    <w:rsid w:val="001447AD"/>
    <w:rsid w:val="0018138C"/>
    <w:rsid w:val="001D4E28"/>
    <w:rsid w:val="00202B2A"/>
    <w:rsid w:val="00255686"/>
    <w:rsid w:val="002971DD"/>
    <w:rsid w:val="00301AD1"/>
    <w:rsid w:val="00322D29"/>
    <w:rsid w:val="004253BC"/>
    <w:rsid w:val="00472A9D"/>
    <w:rsid w:val="00474E80"/>
    <w:rsid w:val="0049748B"/>
    <w:rsid w:val="00531300"/>
    <w:rsid w:val="0053631E"/>
    <w:rsid w:val="005663FE"/>
    <w:rsid w:val="0056762F"/>
    <w:rsid w:val="00574437"/>
    <w:rsid w:val="005824FA"/>
    <w:rsid w:val="005C2391"/>
    <w:rsid w:val="005F17E7"/>
    <w:rsid w:val="00647F51"/>
    <w:rsid w:val="006E0AC2"/>
    <w:rsid w:val="006E2A1B"/>
    <w:rsid w:val="0078458A"/>
    <w:rsid w:val="007B6269"/>
    <w:rsid w:val="007D0E56"/>
    <w:rsid w:val="0080278B"/>
    <w:rsid w:val="008926A6"/>
    <w:rsid w:val="009426BF"/>
    <w:rsid w:val="00AB066A"/>
    <w:rsid w:val="00B15219"/>
    <w:rsid w:val="00B7245A"/>
    <w:rsid w:val="00BD3680"/>
    <w:rsid w:val="00BF038D"/>
    <w:rsid w:val="00C820DC"/>
    <w:rsid w:val="00CA26F2"/>
    <w:rsid w:val="00DA0519"/>
    <w:rsid w:val="00DB4575"/>
    <w:rsid w:val="00E22012"/>
    <w:rsid w:val="00E83FBC"/>
    <w:rsid w:val="00E922AD"/>
    <w:rsid w:val="00F81BB6"/>
    <w:rsid w:val="00F92B6B"/>
    <w:rsid w:val="00FA2F00"/>
    <w:rsid w:val="00FE1406"/>
    <w:rsid w:val="16D81A2E"/>
    <w:rsid w:val="19156693"/>
    <w:rsid w:val="1A0D46BA"/>
    <w:rsid w:val="1B0F4C27"/>
    <w:rsid w:val="2D443BFA"/>
    <w:rsid w:val="2F307B42"/>
    <w:rsid w:val="302101A3"/>
    <w:rsid w:val="34585402"/>
    <w:rsid w:val="497B51F6"/>
    <w:rsid w:val="4B3D28C4"/>
    <w:rsid w:val="797133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6"/>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59"/>
    <w:semiHidden/>
    <w:qFormat/>
    <w:uiPriority w:val="0"/>
    <w:pPr>
      <w:snapToGrid w:val="0"/>
      <w:jc w:val="left"/>
    </w:pPr>
  </w:style>
  <w:style w:type="paragraph" w:styleId="15">
    <w:name w:val="footer"/>
    <w:basedOn w:val="1"/>
    <w:link w:val="58"/>
    <w:qFormat/>
    <w:uiPriority w:val="0"/>
    <w:pPr>
      <w:snapToGrid w:val="0"/>
      <w:ind w:right="210" w:rightChars="100"/>
      <w:jc w:val="right"/>
    </w:pPr>
    <w:rPr>
      <w:sz w:val="18"/>
      <w:szCs w:val="18"/>
    </w:rPr>
  </w:style>
  <w:style w:type="paragraph" w:styleId="16">
    <w:name w:val="header"/>
    <w:basedOn w:val="1"/>
    <w:link w:val="55"/>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1"/>
    <w:unhideWhenUsed/>
    <w:qFormat/>
    <w:uiPriority w:val="0"/>
  </w:style>
  <w:style w:type="paragraph" w:styleId="21">
    <w:name w:val="footnote text"/>
    <w:basedOn w:val="1"/>
    <w:link w:val="57"/>
    <w:qFormat/>
    <w:uiPriority w:val="0"/>
    <w:pPr>
      <w:tabs>
        <w:tab w:val="left" w:pos="0"/>
      </w:tabs>
      <w:snapToGrid w:val="0"/>
      <w:ind w:left="720" w:hanging="357"/>
      <w:jc w:val="left"/>
    </w:pPr>
    <w:rPr>
      <w:rFonts w:ascii="宋体"/>
      <w:sz w:val="18"/>
      <w:szCs w:val="18"/>
    </w:rPr>
  </w:style>
  <w:style w:type="paragraph" w:styleId="22">
    <w:name w:val="toc 6"/>
    <w:basedOn w:val="1"/>
    <w:next w:val="1"/>
    <w:semiHidden/>
    <w:qFormat/>
    <w:uiPriority w:val="0"/>
    <w:pPr>
      <w:tabs>
        <w:tab w:val="right" w:leader="dot" w:pos="9241"/>
      </w:tabs>
      <w:ind w:firstLine="403"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1"/>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table" w:styleId="29">
    <w:name w:val="Table Grid"/>
    <w:basedOn w:val="28"/>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1">
    <w:name w:val="endnote reference"/>
    <w:basedOn w:val="30"/>
    <w:semiHidden/>
    <w:uiPriority w:val="0"/>
    <w:rPr>
      <w:vertAlign w:val="superscript"/>
    </w:rPr>
  </w:style>
  <w:style w:type="character" w:styleId="32">
    <w:name w:val="page number"/>
    <w:basedOn w:val="30"/>
    <w:qFormat/>
    <w:uiPriority w:val="0"/>
    <w:rPr>
      <w:rFonts w:ascii="Times New Roman" w:hAnsi="Times New Roman" w:eastAsia="宋体"/>
      <w:sz w:val="18"/>
    </w:rPr>
  </w:style>
  <w:style w:type="character" w:styleId="33">
    <w:name w:val="FollowedHyperlink"/>
    <w:basedOn w:val="30"/>
    <w:uiPriority w:val="0"/>
    <w:rPr>
      <w:color w:val="800080"/>
      <w:u w:val="single"/>
    </w:rPr>
  </w:style>
  <w:style w:type="character" w:styleId="34">
    <w:name w:val="Hyperlink"/>
    <w:basedOn w:val="30"/>
    <w:uiPriority w:val="0"/>
    <w:rPr>
      <w:color w:val="0000FF"/>
      <w:spacing w:val="0"/>
      <w:w w:val="100"/>
      <w:szCs w:val="21"/>
      <w:u w:val="single"/>
      <w:lang w:val="en-US" w:eastAsia="zh-CN"/>
    </w:rPr>
  </w:style>
  <w:style w:type="character" w:styleId="35">
    <w:name w:val="footnote reference"/>
    <w:basedOn w:val="30"/>
    <w:semiHidden/>
    <w:uiPriority w:val="0"/>
    <w:rPr>
      <w:vertAlign w:val="superscript"/>
    </w:rPr>
  </w:style>
  <w:style w:type="character" w:customStyle="1" w:styleId="36">
    <w:name w:val="标题 1 Char"/>
    <w:basedOn w:val="30"/>
    <w:link w:val="2"/>
    <w:qFormat/>
    <w:uiPriority w:val="0"/>
    <w:rPr>
      <w:rFonts w:ascii="Times New Roman" w:hAnsi="Times New Roman" w:eastAsia="宋体" w:cs="Times New Roman"/>
      <w:b/>
      <w:bCs/>
      <w:kern w:val="44"/>
      <w:sz w:val="44"/>
      <w:szCs w:val="44"/>
    </w:rPr>
  </w:style>
  <w:style w:type="character" w:customStyle="1" w:styleId="37">
    <w:name w:val="font51"/>
    <w:basedOn w:val="30"/>
    <w:uiPriority w:val="0"/>
    <w:rPr>
      <w:rFonts w:hint="eastAsia" w:ascii="宋体" w:hAnsi="宋体" w:eastAsia="宋体" w:cs="宋体"/>
      <w:color w:val="000000"/>
      <w:sz w:val="24"/>
      <w:szCs w:val="24"/>
      <w:u w:val="none"/>
    </w:rPr>
  </w:style>
  <w:style w:type="character" w:customStyle="1" w:styleId="38">
    <w:name w:val="font31"/>
    <w:basedOn w:val="30"/>
    <w:uiPriority w:val="0"/>
    <w:rPr>
      <w:rFonts w:hint="eastAsia" w:ascii="宋体" w:hAnsi="宋体" w:eastAsia="宋体" w:cs="宋体"/>
      <w:b/>
      <w:color w:val="000000"/>
      <w:sz w:val="24"/>
      <w:szCs w:val="24"/>
      <w:u w:val="none"/>
    </w:rPr>
  </w:style>
  <w:style w:type="character" w:customStyle="1" w:styleId="39">
    <w:name w:val="首示例 Char"/>
    <w:basedOn w:val="30"/>
    <w:link w:val="40"/>
    <w:uiPriority w:val="0"/>
    <w:rPr>
      <w:rFonts w:ascii="宋体" w:hAnsi="宋体"/>
      <w:sz w:val="18"/>
      <w:szCs w:val="18"/>
    </w:rPr>
  </w:style>
  <w:style w:type="paragraph" w:customStyle="1" w:styleId="40">
    <w:name w:val="首示例"/>
    <w:next w:val="41"/>
    <w:link w:val="39"/>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1">
    <w:name w:val="段"/>
    <w:link w:val="46"/>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2">
    <w:name w:val="font01"/>
    <w:basedOn w:val="30"/>
    <w:uiPriority w:val="0"/>
    <w:rPr>
      <w:rFonts w:hint="eastAsia" w:ascii="宋体" w:hAnsi="宋体" w:eastAsia="宋体" w:cs="宋体"/>
      <w:color w:val="000000"/>
      <w:sz w:val="24"/>
      <w:szCs w:val="24"/>
      <w:u w:val="none"/>
    </w:rPr>
  </w:style>
  <w:style w:type="character" w:customStyle="1" w:styleId="43">
    <w:name w:val="font91"/>
    <w:basedOn w:val="30"/>
    <w:uiPriority w:val="0"/>
    <w:rPr>
      <w:rFonts w:hint="eastAsia" w:ascii="宋体" w:hAnsi="宋体" w:eastAsia="宋体" w:cs="宋体"/>
      <w:color w:val="000000"/>
      <w:sz w:val="24"/>
      <w:szCs w:val="24"/>
      <w:u w:val="none"/>
    </w:rPr>
  </w:style>
  <w:style w:type="character" w:customStyle="1" w:styleId="44">
    <w:name w:val="font21"/>
    <w:basedOn w:val="30"/>
    <w:uiPriority w:val="0"/>
    <w:rPr>
      <w:rFonts w:hint="eastAsia" w:ascii="宋体" w:hAnsi="宋体" w:eastAsia="宋体" w:cs="宋体"/>
      <w:b/>
      <w:color w:val="000000"/>
      <w:sz w:val="24"/>
      <w:szCs w:val="24"/>
      <w:u w:val="none"/>
    </w:rPr>
  </w:style>
  <w:style w:type="character" w:customStyle="1" w:styleId="45">
    <w:name w:val="附录公式 Char"/>
    <w:basedOn w:val="46"/>
    <w:link w:val="47"/>
    <w:uiPriority w:val="0"/>
  </w:style>
  <w:style w:type="character" w:customStyle="1" w:styleId="46">
    <w:name w:val="段 Char"/>
    <w:basedOn w:val="30"/>
    <w:link w:val="41"/>
    <w:uiPriority w:val="0"/>
    <w:rPr>
      <w:rFonts w:ascii="宋体"/>
    </w:rPr>
  </w:style>
  <w:style w:type="paragraph" w:customStyle="1" w:styleId="47">
    <w:name w:val="附录公式"/>
    <w:basedOn w:val="41"/>
    <w:next w:val="41"/>
    <w:link w:val="45"/>
    <w:qFormat/>
    <w:uiPriority w:val="0"/>
  </w:style>
  <w:style w:type="character" w:customStyle="1" w:styleId="48">
    <w:name w:val="font41"/>
    <w:basedOn w:val="30"/>
    <w:uiPriority w:val="0"/>
    <w:rPr>
      <w:rFonts w:hint="eastAsia" w:ascii="宋体" w:hAnsi="宋体" w:eastAsia="宋体" w:cs="宋体"/>
      <w:b/>
      <w:color w:val="000000"/>
      <w:sz w:val="24"/>
      <w:szCs w:val="24"/>
      <w:u w:val="none"/>
    </w:rPr>
  </w:style>
  <w:style w:type="character" w:customStyle="1" w:styleId="49">
    <w:name w:val="发布"/>
    <w:basedOn w:val="30"/>
    <w:uiPriority w:val="0"/>
    <w:rPr>
      <w:rFonts w:ascii="黑体" w:eastAsia="黑体"/>
      <w:spacing w:val="85"/>
      <w:w w:val="100"/>
      <w:position w:val="3"/>
      <w:sz w:val="28"/>
      <w:szCs w:val="28"/>
    </w:rPr>
  </w:style>
  <w:style w:type="character" w:customStyle="1" w:styleId="50">
    <w:name w:val="font81"/>
    <w:basedOn w:val="30"/>
    <w:uiPriority w:val="0"/>
    <w:rPr>
      <w:rFonts w:hint="eastAsia" w:ascii="宋体" w:hAnsi="宋体" w:eastAsia="宋体" w:cs="宋体"/>
      <w:b/>
      <w:color w:val="000000"/>
      <w:sz w:val="24"/>
      <w:szCs w:val="24"/>
      <w:u w:val="none"/>
    </w:rPr>
  </w:style>
  <w:style w:type="character" w:customStyle="1" w:styleId="51">
    <w:name w:val="font61"/>
    <w:basedOn w:val="30"/>
    <w:uiPriority w:val="0"/>
    <w:rPr>
      <w:rFonts w:hint="eastAsia" w:ascii="宋体" w:hAnsi="宋体" w:eastAsia="宋体" w:cs="宋体"/>
      <w:b/>
      <w:color w:val="000000"/>
      <w:sz w:val="24"/>
      <w:szCs w:val="24"/>
      <w:u w:val="none"/>
    </w:rPr>
  </w:style>
  <w:style w:type="character" w:customStyle="1" w:styleId="52">
    <w:name w:val="font71"/>
    <w:basedOn w:val="30"/>
    <w:uiPriority w:val="0"/>
    <w:rPr>
      <w:rFonts w:hint="eastAsia" w:ascii="宋体" w:hAnsi="宋体" w:eastAsia="宋体" w:cs="宋体"/>
      <w:b/>
      <w:color w:val="000000"/>
      <w:sz w:val="24"/>
      <w:szCs w:val="24"/>
      <w:u w:val="none"/>
    </w:rPr>
  </w:style>
  <w:style w:type="character" w:customStyle="1" w:styleId="53">
    <w:name w:val="font101"/>
    <w:basedOn w:val="30"/>
    <w:uiPriority w:val="0"/>
    <w:rPr>
      <w:rFonts w:hint="eastAsia" w:ascii="宋体" w:hAnsi="宋体" w:eastAsia="宋体" w:cs="宋体"/>
      <w:color w:val="000000"/>
      <w:sz w:val="24"/>
      <w:szCs w:val="24"/>
      <w:u w:val="none"/>
    </w:rPr>
  </w:style>
  <w:style w:type="character" w:customStyle="1" w:styleId="54">
    <w:name w:val="font11"/>
    <w:basedOn w:val="30"/>
    <w:uiPriority w:val="0"/>
    <w:rPr>
      <w:rFonts w:hint="eastAsia" w:ascii="宋体" w:hAnsi="宋体" w:eastAsia="宋体" w:cs="宋体"/>
      <w:b/>
      <w:color w:val="000000"/>
      <w:sz w:val="24"/>
      <w:szCs w:val="24"/>
      <w:u w:val="none"/>
    </w:rPr>
  </w:style>
  <w:style w:type="character" w:customStyle="1" w:styleId="55">
    <w:name w:val="页眉 Char"/>
    <w:basedOn w:val="30"/>
    <w:link w:val="16"/>
    <w:uiPriority w:val="0"/>
    <w:rPr>
      <w:rFonts w:ascii="Times New Roman" w:hAnsi="Times New Roman" w:eastAsia="宋体" w:cs="Times New Roman"/>
      <w:sz w:val="18"/>
      <w:szCs w:val="18"/>
    </w:rPr>
  </w:style>
  <w:style w:type="character" w:customStyle="1" w:styleId="56">
    <w:name w:val="文档结构图 Char"/>
    <w:basedOn w:val="30"/>
    <w:link w:val="7"/>
    <w:semiHidden/>
    <w:uiPriority w:val="0"/>
    <w:rPr>
      <w:rFonts w:ascii="Times New Roman" w:hAnsi="Times New Roman" w:eastAsia="宋体" w:cs="Times New Roman"/>
      <w:szCs w:val="24"/>
      <w:shd w:val="clear" w:color="auto" w:fill="000080"/>
    </w:rPr>
  </w:style>
  <w:style w:type="character" w:customStyle="1" w:styleId="57">
    <w:name w:val="脚注文本 Char"/>
    <w:basedOn w:val="30"/>
    <w:link w:val="21"/>
    <w:uiPriority w:val="0"/>
    <w:rPr>
      <w:rFonts w:ascii="宋体" w:hAnsi="Times New Roman" w:eastAsia="宋体" w:cs="Times New Roman"/>
      <w:sz w:val="18"/>
      <w:szCs w:val="18"/>
    </w:rPr>
  </w:style>
  <w:style w:type="character" w:customStyle="1" w:styleId="58">
    <w:name w:val="页脚 Char"/>
    <w:basedOn w:val="30"/>
    <w:link w:val="15"/>
    <w:uiPriority w:val="0"/>
    <w:rPr>
      <w:rFonts w:ascii="Times New Roman" w:hAnsi="Times New Roman" w:eastAsia="宋体" w:cs="Times New Roman"/>
      <w:sz w:val="18"/>
      <w:szCs w:val="18"/>
    </w:rPr>
  </w:style>
  <w:style w:type="character" w:customStyle="1" w:styleId="59">
    <w:name w:val="尾注文本 Char"/>
    <w:basedOn w:val="30"/>
    <w:link w:val="14"/>
    <w:semiHidden/>
    <w:uiPriority w:val="0"/>
    <w:rPr>
      <w:rFonts w:ascii="Times New Roman" w:hAnsi="Times New Roman" w:eastAsia="宋体" w:cs="Times New Roman"/>
      <w:szCs w:val="24"/>
    </w:rPr>
  </w:style>
  <w:style w:type="paragraph" w:customStyle="1" w:styleId="60">
    <w:name w:val="附录三级无"/>
    <w:basedOn w:val="61"/>
    <w:uiPriority w:val="0"/>
    <w:pPr>
      <w:tabs>
        <w:tab w:val="left" w:pos="360"/>
      </w:tabs>
      <w:spacing w:beforeLines="0" w:afterLines="0"/>
    </w:pPr>
    <w:rPr>
      <w:rFonts w:ascii="宋体" w:eastAsia="宋体"/>
      <w:szCs w:val="21"/>
    </w:rPr>
  </w:style>
  <w:style w:type="paragraph" w:customStyle="1" w:styleId="61">
    <w:name w:val="附录三级条标题"/>
    <w:basedOn w:val="62"/>
    <w:next w:val="41"/>
    <w:uiPriority w:val="0"/>
    <w:pPr>
      <w:tabs>
        <w:tab w:val="left" w:pos="360"/>
      </w:tabs>
      <w:outlineLvl w:val="4"/>
    </w:pPr>
  </w:style>
  <w:style w:type="paragraph" w:customStyle="1" w:styleId="62">
    <w:name w:val="附录二级条标题"/>
    <w:basedOn w:val="1"/>
    <w:next w:val="41"/>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64">
    <w:name w:val="附录四级条标题"/>
    <w:basedOn w:val="61"/>
    <w:next w:val="41"/>
    <w:uiPriority w:val="0"/>
    <w:pPr>
      <w:outlineLvl w:val="5"/>
    </w:pPr>
  </w:style>
  <w:style w:type="paragraph" w:customStyle="1" w:styleId="65">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6">
    <w:name w:val="示例后文字"/>
    <w:basedOn w:val="41"/>
    <w:next w:val="41"/>
    <w:qFormat/>
    <w:uiPriority w:val="0"/>
    <w:pPr>
      <w:ind w:firstLine="360"/>
    </w:pPr>
    <w:rPr>
      <w:sz w:val="18"/>
    </w:rPr>
  </w:style>
  <w:style w:type="paragraph" w:customStyle="1" w:styleId="67">
    <w:name w:val="附录一级无"/>
    <w:basedOn w:val="68"/>
    <w:uiPriority w:val="0"/>
    <w:pPr>
      <w:tabs>
        <w:tab w:val="left" w:pos="360"/>
      </w:tabs>
      <w:spacing w:beforeLines="0" w:afterLines="0"/>
    </w:pPr>
    <w:rPr>
      <w:rFonts w:ascii="宋体" w:eastAsia="宋体"/>
      <w:szCs w:val="21"/>
    </w:rPr>
  </w:style>
  <w:style w:type="paragraph" w:customStyle="1" w:styleId="68">
    <w:name w:val="附录一级条标题"/>
    <w:basedOn w:val="69"/>
    <w:next w:val="41"/>
    <w:uiPriority w:val="0"/>
    <w:pPr>
      <w:tabs>
        <w:tab w:val="left" w:pos="360"/>
      </w:tabs>
      <w:autoSpaceDN w:val="0"/>
      <w:spacing w:beforeLines="50" w:afterLines="50"/>
      <w:outlineLvl w:val="2"/>
    </w:pPr>
  </w:style>
  <w:style w:type="paragraph" w:customStyle="1" w:styleId="69">
    <w:name w:val="附录章标题"/>
    <w:next w:val="41"/>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实施日期"/>
    <w:basedOn w:val="71"/>
    <w:uiPriority w:val="0"/>
    <w:pPr>
      <w:framePr w:vAnchor="page" w:hAnchor="text"/>
      <w:jc w:val="right"/>
    </w:pPr>
  </w:style>
  <w:style w:type="paragraph" w:customStyle="1" w:styleId="71">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二级无"/>
    <w:basedOn w:val="62"/>
    <w:uiPriority w:val="0"/>
    <w:pPr>
      <w:tabs>
        <w:tab w:val="clear" w:pos="360"/>
      </w:tabs>
      <w:spacing w:beforeLines="0" w:afterLines="0"/>
    </w:pPr>
    <w:rPr>
      <w:rFonts w:ascii="宋体" w:eastAsia="宋体"/>
      <w:szCs w:val="21"/>
    </w:rPr>
  </w:style>
  <w:style w:type="paragraph" w:customStyle="1" w:styleId="73">
    <w:name w:val="二级无"/>
    <w:basedOn w:val="74"/>
    <w:uiPriority w:val="0"/>
    <w:pPr>
      <w:spacing w:beforeLines="0" w:afterLines="0"/>
    </w:pPr>
    <w:rPr>
      <w:rFonts w:ascii="宋体" w:eastAsia="宋体"/>
    </w:rPr>
  </w:style>
  <w:style w:type="paragraph" w:customStyle="1" w:styleId="74">
    <w:name w:val="二级条标题"/>
    <w:basedOn w:val="75"/>
    <w:next w:val="41"/>
    <w:uiPriority w:val="0"/>
    <w:pPr>
      <w:spacing w:before="50" w:after="50"/>
      <w:outlineLvl w:val="3"/>
    </w:pPr>
  </w:style>
  <w:style w:type="paragraph" w:customStyle="1" w:styleId="75">
    <w:name w:val="一级条标题"/>
    <w:next w:val="41"/>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7">
    <w:name w:val="章标题"/>
    <w:next w:val="41"/>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8">
    <w:name w:val="附录图标号"/>
    <w:basedOn w:val="1"/>
    <w:uiPriority w:val="0"/>
    <w:pPr>
      <w:keepNext/>
      <w:pageBreakBefore/>
      <w:widowControl/>
      <w:spacing w:line="14" w:lineRule="exact"/>
      <w:ind w:firstLine="363"/>
      <w:jc w:val="center"/>
      <w:outlineLvl w:val="0"/>
    </w:pPr>
    <w:rPr>
      <w:color w:val="FFFFFF"/>
    </w:rPr>
  </w:style>
  <w:style w:type="paragraph" w:customStyle="1" w:styleId="79">
    <w:name w:val="封面正文"/>
    <w:uiPriority w:val="0"/>
    <w:pPr>
      <w:jc w:val="both"/>
    </w:pPr>
    <w:rPr>
      <w:rFonts w:ascii="Times New Roman" w:hAnsi="Times New Roman" w:eastAsia="宋体" w:cs="Times New Roman"/>
      <w:lang w:val="en-US" w:eastAsia="zh-CN" w:bidi="ar-SA"/>
    </w:rPr>
  </w:style>
  <w:style w:type="paragraph" w:customStyle="1" w:styleId="80">
    <w:name w:val="封面标准文稿编辑信息"/>
    <w:basedOn w:val="81"/>
    <w:uiPriority w:val="0"/>
    <w:pPr>
      <w:framePr/>
      <w:spacing w:before="180" w:line="180" w:lineRule="exact"/>
    </w:pPr>
    <w:rPr>
      <w:sz w:val="21"/>
    </w:rPr>
  </w:style>
  <w:style w:type="paragraph" w:customStyle="1" w:styleId="81">
    <w:name w:val="封面标准文稿类别"/>
    <w:basedOn w:val="82"/>
    <w:uiPriority w:val="0"/>
    <w:pPr>
      <w:framePr/>
      <w:spacing w:after="160" w:line="240" w:lineRule="auto"/>
    </w:pPr>
    <w:rPr>
      <w:sz w:val="24"/>
    </w:rPr>
  </w:style>
  <w:style w:type="paragraph" w:customStyle="1" w:styleId="82">
    <w:name w:val="封面一致性程度标识"/>
    <w:basedOn w:val="83"/>
    <w:uiPriority w:val="0"/>
    <w:pPr>
      <w:framePr/>
      <w:spacing w:before="440"/>
    </w:pPr>
    <w:rPr>
      <w:rFonts w:ascii="宋体" w:eastAsia="宋体"/>
    </w:rPr>
  </w:style>
  <w:style w:type="paragraph" w:customStyle="1" w:styleId="83">
    <w:name w:val="封面标准英文名称"/>
    <w:basedOn w:val="84"/>
    <w:uiPriority w:val="0"/>
    <w:pPr>
      <w:framePr/>
      <w:spacing w:before="370" w:line="400" w:lineRule="exact"/>
    </w:pPr>
    <w:rPr>
      <w:rFonts w:ascii="Times New Roman"/>
      <w:sz w:val="28"/>
      <w:szCs w:val="28"/>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图表脚注说明"/>
    <w:basedOn w:val="1"/>
    <w:uiPriority w:val="0"/>
    <w:pPr>
      <w:ind w:left="544" w:hanging="181"/>
    </w:pPr>
    <w:rPr>
      <w:rFonts w:ascii="宋体"/>
      <w:sz w:val="18"/>
      <w:szCs w:val="18"/>
    </w:rPr>
  </w:style>
  <w:style w:type="paragraph" w:customStyle="1" w:styleId="89">
    <w:name w:val="附录公式编号制表符"/>
    <w:basedOn w:val="1"/>
    <w:next w:val="4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标题"/>
    <w:basedOn w:val="41"/>
    <w:next w:val="41"/>
    <w:uiPriority w:val="0"/>
    <w:pPr>
      <w:ind w:firstLine="0" w:firstLineChars="0"/>
      <w:jc w:val="center"/>
    </w:pPr>
    <w:rPr>
      <w:rFonts w:ascii="黑体" w:eastAsia="黑体"/>
    </w:rPr>
  </w:style>
  <w:style w:type="paragraph" w:customStyle="1" w:styleId="91">
    <w:name w:val="图的脚注"/>
    <w:next w:val="4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2">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93">
    <w:name w:val="三级无"/>
    <w:basedOn w:val="94"/>
    <w:qFormat/>
    <w:uiPriority w:val="0"/>
    <w:pPr>
      <w:spacing w:beforeLines="0" w:afterLines="0"/>
    </w:pPr>
    <w:rPr>
      <w:rFonts w:ascii="宋体" w:eastAsia="宋体"/>
    </w:rPr>
  </w:style>
  <w:style w:type="paragraph" w:customStyle="1" w:styleId="94">
    <w:name w:val="三级条标题"/>
    <w:basedOn w:val="74"/>
    <w:next w:val="41"/>
    <w:uiPriority w:val="0"/>
    <w:pPr>
      <w:outlineLvl w:val="4"/>
    </w:pPr>
  </w:style>
  <w:style w:type="paragraph" w:customStyle="1" w:styleId="95">
    <w:name w:val="其他发布部门"/>
    <w:basedOn w:val="96"/>
    <w:uiPriority w:val="0"/>
    <w:pPr>
      <w:framePr w:y="15310"/>
      <w:spacing w:line="0" w:lineRule="atLeast"/>
    </w:pPr>
    <w:rPr>
      <w:rFonts w:ascii="黑体" w:eastAsia="黑体"/>
      <w:b w:val="0"/>
    </w:rPr>
  </w:style>
  <w:style w:type="paragraph" w:customStyle="1" w:styleId="96">
    <w:name w:val="发布部门"/>
    <w:next w:val="4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7">
    <w:name w:val="附录图标题"/>
    <w:basedOn w:val="1"/>
    <w:next w:val="41"/>
    <w:uiPriority w:val="0"/>
    <w:pPr>
      <w:tabs>
        <w:tab w:val="left" w:pos="363"/>
      </w:tabs>
      <w:spacing w:beforeLines="50" w:afterLines="50"/>
      <w:jc w:val="center"/>
    </w:pPr>
    <w:rPr>
      <w:rFonts w:ascii="黑体" w:eastAsia="黑体"/>
      <w:szCs w:val="21"/>
    </w:rPr>
  </w:style>
  <w:style w:type="paragraph" w:customStyle="1" w:styleId="98">
    <w:name w:val="其他实施日期"/>
    <w:basedOn w:val="70"/>
    <w:uiPriority w:val="0"/>
    <w:pPr>
      <w:framePr/>
    </w:pPr>
  </w:style>
  <w:style w:type="paragraph" w:customStyle="1" w:styleId="99">
    <w:name w:val="注×：（正文）"/>
    <w:uiPriority w:val="0"/>
    <w:pPr>
      <w:ind w:left="811" w:hanging="448"/>
      <w:jc w:val="both"/>
    </w:pPr>
    <w:rPr>
      <w:rFonts w:ascii="宋体" w:hAnsi="Times New Roman" w:eastAsia="宋体" w:cs="Times New Roman"/>
      <w:sz w:val="18"/>
      <w:szCs w:val="18"/>
      <w:lang w:val="en-US" w:eastAsia="zh-CN" w:bidi="ar-SA"/>
    </w:rPr>
  </w:style>
  <w:style w:type="paragraph" w:customStyle="1" w:styleId="100">
    <w:name w:val="参考文献"/>
    <w:basedOn w:val="1"/>
    <w:next w:val="4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2">
    <w:name w:val="注："/>
    <w:next w:val="41"/>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3">
    <w:name w:val="条文脚注"/>
    <w:basedOn w:val="21"/>
    <w:uiPriority w:val="0"/>
    <w:pPr>
      <w:ind w:left="0" w:firstLine="0"/>
      <w:jc w:val="both"/>
    </w:pPr>
  </w:style>
  <w:style w:type="paragraph" w:customStyle="1" w:styleId="104">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105">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6">
    <w:name w:val="附录五级无"/>
    <w:basedOn w:val="107"/>
    <w:uiPriority w:val="0"/>
    <w:pPr>
      <w:tabs>
        <w:tab w:val="left" w:pos="360"/>
      </w:tabs>
      <w:spacing w:beforeLines="0" w:afterLines="0"/>
    </w:pPr>
    <w:rPr>
      <w:rFonts w:ascii="宋体" w:eastAsia="宋体"/>
      <w:szCs w:val="21"/>
    </w:rPr>
  </w:style>
  <w:style w:type="paragraph" w:customStyle="1" w:styleId="107">
    <w:name w:val="附录五级条标题"/>
    <w:basedOn w:val="64"/>
    <w:next w:val="41"/>
    <w:uiPriority w:val="0"/>
    <w:pPr>
      <w:outlineLvl w:val="6"/>
    </w:pPr>
  </w:style>
  <w:style w:type="paragraph" w:customStyle="1" w:styleId="108">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9">
    <w:name w:val="终结线"/>
    <w:basedOn w:val="1"/>
    <w:uiPriority w:val="0"/>
    <w:pPr>
      <w:framePr w:hSpace="181" w:vSpace="181" w:wrap="around" w:vAnchor="text" w:hAnchor="margin" w:xAlign="center" w:y="285"/>
    </w:pPr>
  </w:style>
  <w:style w:type="paragraph" w:customStyle="1" w:styleId="110">
    <w:name w:val="图标脚注说明"/>
    <w:basedOn w:val="41"/>
    <w:uiPriority w:val="0"/>
    <w:pPr>
      <w:ind w:left="840" w:hanging="420" w:firstLineChars="0"/>
    </w:pPr>
    <w:rPr>
      <w:sz w:val="18"/>
      <w:szCs w:val="18"/>
    </w:rPr>
  </w:style>
  <w:style w:type="paragraph" w:customStyle="1" w:styleId="11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2">
    <w:name w:val="注：（正文）"/>
    <w:basedOn w:val="102"/>
    <w:next w:val="41"/>
    <w:uiPriority w:val="0"/>
  </w:style>
  <w:style w:type="paragraph" w:customStyle="1" w:styleId="11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4">
    <w:name w:val="附录表标号"/>
    <w:basedOn w:val="1"/>
    <w:next w:val="41"/>
    <w:uiPriority w:val="0"/>
    <w:pPr>
      <w:spacing w:line="14" w:lineRule="exact"/>
      <w:ind w:left="811" w:hanging="448"/>
      <w:jc w:val="center"/>
      <w:outlineLvl w:val="0"/>
    </w:pPr>
    <w:rPr>
      <w:color w:val="FFFFFF"/>
    </w:rPr>
  </w:style>
  <w:style w:type="paragraph" w:customStyle="1" w:styleId="115">
    <w:name w:val="封面标准文稿类别2"/>
    <w:basedOn w:val="81"/>
    <w:uiPriority w:val="0"/>
    <w:pPr>
      <w:framePr w:y="4469"/>
    </w:pPr>
  </w:style>
  <w:style w:type="paragraph" w:customStyle="1" w:styleId="116">
    <w:name w:val="示例×："/>
    <w:basedOn w:val="77"/>
    <w:qFormat/>
    <w:uiPriority w:val="0"/>
    <w:pPr>
      <w:spacing w:beforeLines="0" w:afterLines="0"/>
      <w:ind w:firstLine="363"/>
      <w:outlineLvl w:val="9"/>
    </w:pPr>
    <w:rPr>
      <w:rFonts w:ascii="宋体" w:eastAsia="宋体"/>
      <w:sz w:val="18"/>
      <w:szCs w:val="18"/>
    </w:rPr>
  </w:style>
  <w:style w:type="paragraph" w:customStyle="1" w:styleId="11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8">
    <w:name w:val="其他发布日期"/>
    <w:basedOn w:val="71"/>
    <w:uiPriority w:val="0"/>
    <w:pPr>
      <w:framePr w:vAnchor="page" w:hAnchor="text" w:x="1419"/>
    </w:pPr>
  </w:style>
  <w:style w:type="paragraph" w:customStyle="1" w:styleId="119">
    <w:name w:val="四级条标题"/>
    <w:basedOn w:val="94"/>
    <w:next w:val="41"/>
    <w:uiPriority w:val="0"/>
    <w:pPr>
      <w:outlineLvl w:val="5"/>
    </w:pPr>
  </w:style>
  <w:style w:type="paragraph" w:customStyle="1" w:styleId="120">
    <w:name w:val="其他标准标志"/>
    <w:basedOn w:val="117"/>
    <w:uiPriority w:val="0"/>
    <w:pPr>
      <w:framePr w:w="6101" w:vAnchor="page" w:hAnchor="page" w:x="4673" w:y="942"/>
    </w:pPr>
    <w:rPr>
      <w:w w:val="130"/>
    </w:rPr>
  </w:style>
  <w:style w:type="paragraph" w:customStyle="1" w:styleId="121">
    <w:name w:val="标准书眉_偶数页"/>
    <w:basedOn w:val="65"/>
    <w:next w:val="1"/>
    <w:uiPriority w:val="0"/>
    <w:pPr>
      <w:jc w:val="left"/>
    </w:pPr>
  </w:style>
  <w:style w:type="paragraph" w:customStyle="1" w:styleId="122">
    <w:name w:val="参考文献、索引标题"/>
    <w:basedOn w:val="1"/>
    <w:next w:val="4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列项●（二级）"/>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4">
    <w:name w:val="附录表标题"/>
    <w:basedOn w:val="1"/>
    <w:next w:val="41"/>
    <w:uiPriority w:val="0"/>
    <w:pPr>
      <w:tabs>
        <w:tab w:val="left" w:pos="180"/>
      </w:tabs>
      <w:spacing w:beforeLines="50" w:afterLines="50"/>
      <w:jc w:val="center"/>
    </w:pPr>
    <w:rPr>
      <w:rFonts w:ascii="黑体" w:eastAsia="黑体"/>
      <w:szCs w:val="21"/>
    </w:rPr>
  </w:style>
  <w:style w:type="paragraph" w:customStyle="1" w:styleId="125">
    <w:name w:val="标准书眉一"/>
    <w:uiPriority w:val="0"/>
    <w:pPr>
      <w:jc w:val="both"/>
    </w:pPr>
    <w:rPr>
      <w:rFonts w:ascii="Times New Roman" w:hAnsi="Times New Roman" w:eastAsia="宋体" w:cs="Times New Roman"/>
      <w:lang w:val="en-US" w:eastAsia="zh-CN" w:bidi="ar-SA"/>
    </w:rPr>
  </w:style>
  <w:style w:type="paragraph" w:customStyle="1" w:styleId="126">
    <w:name w:val="示例"/>
    <w:next w:val="127"/>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7">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28">
    <w:name w:val="五级无"/>
    <w:basedOn w:val="129"/>
    <w:uiPriority w:val="0"/>
    <w:pPr>
      <w:spacing w:beforeLines="0" w:afterLines="0"/>
    </w:pPr>
    <w:rPr>
      <w:rFonts w:ascii="宋体" w:eastAsia="宋体"/>
    </w:rPr>
  </w:style>
  <w:style w:type="paragraph" w:customStyle="1" w:styleId="129">
    <w:name w:val="五级条标题"/>
    <w:basedOn w:val="119"/>
    <w:next w:val="41"/>
    <w:uiPriority w:val="0"/>
    <w:pPr>
      <w:outlineLvl w:val="6"/>
    </w:pPr>
  </w:style>
  <w:style w:type="paragraph" w:customStyle="1" w:styleId="130">
    <w:name w:val="封面标准英文名称2"/>
    <w:basedOn w:val="83"/>
    <w:uiPriority w:val="0"/>
    <w:pPr>
      <w:framePr w:y="4469"/>
    </w:pPr>
  </w:style>
  <w:style w:type="paragraph" w:customStyle="1" w:styleId="131">
    <w:name w:val="正文表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图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封面一致性程度标识2"/>
    <w:basedOn w:val="82"/>
    <w:uiPriority w:val="0"/>
    <w:pPr>
      <w:framePr w:y="4469"/>
    </w:pPr>
  </w:style>
  <w:style w:type="paragraph" w:customStyle="1" w:styleId="134">
    <w:name w:val="封面标准文稿编辑信息2"/>
    <w:basedOn w:val="80"/>
    <w:uiPriority w:val="0"/>
    <w:pPr>
      <w:framePr w:y="4469"/>
    </w:pPr>
  </w:style>
  <w:style w:type="paragraph" w:customStyle="1" w:styleId="135">
    <w:name w:val="四级无"/>
    <w:basedOn w:val="119"/>
    <w:uiPriority w:val="0"/>
    <w:pPr>
      <w:spacing w:beforeLines="0" w:afterLines="0"/>
    </w:pPr>
    <w:rPr>
      <w:rFonts w:ascii="宋体" w:eastAsia="宋体"/>
    </w:rPr>
  </w:style>
  <w:style w:type="paragraph" w:customStyle="1" w:styleId="136">
    <w:name w:val="列项◆（三级）"/>
    <w:basedOn w:val="1"/>
    <w:uiPriority w:val="0"/>
    <w:pPr>
      <w:tabs>
        <w:tab w:val="left" w:pos="1678"/>
      </w:tabs>
      <w:ind w:left="1678" w:hanging="414"/>
    </w:pPr>
    <w:rPr>
      <w:rFonts w:ascii="宋体"/>
      <w:szCs w:val="21"/>
    </w:rPr>
  </w:style>
  <w:style w:type="paragraph" w:customStyle="1" w:styleId="137">
    <w:name w:val="正文公式编号制表符"/>
    <w:basedOn w:val="41"/>
    <w:next w:val="41"/>
    <w:qFormat/>
    <w:uiPriority w:val="0"/>
    <w:pPr>
      <w:ind w:firstLine="0" w:firstLineChars="0"/>
    </w:pPr>
  </w:style>
  <w:style w:type="paragraph" w:customStyle="1" w:styleId="138">
    <w:name w:val="目次、标准名称标题"/>
    <w:basedOn w:val="1"/>
    <w:next w:val="4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0">
    <w:name w:val="附录标识"/>
    <w:basedOn w:val="1"/>
    <w:next w:val="41"/>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1">
    <w:name w:val="字母编号列项（一级）"/>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2">
    <w:name w:val="前言、引言标题"/>
    <w:next w:val="4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4">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附录四级无"/>
    <w:basedOn w:val="64"/>
    <w:uiPriority w:val="0"/>
    <w:pPr>
      <w:tabs>
        <w:tab w:val="clear" w:pos="360"/>
      </w:tabs>
      <w:spacing w:beforeLines="0" w:afterLines="0"/>
    </w:pPr>
    <w:rPr>
      <w:rFonts w:ascii="宋体" w:eastAsia="宋体"/>
      <w:szCs w:val="21"/>
    </w:rPr>
  </w:style>
  <w:style w:type="paragraph" w:customStyle="1" w:styleId="146">
    <w:name w:val="封面标准名称2"/>
    <w:basedOn w:val="84"/>
    <w:uiPriority w:val="0"/>
    <w:pPr>
      <w:framePr w:y="4469"/>
      <w:spacing w:beforeLines="630"/>
    </w:pPr>
  </w:style>
  <w:style w:type="paragraph" w:customStyle="1" w:styleId="14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48">
    <w:name w:val="一级无"/>
    <w:basedOn w:val="75"/>
    <w:uiPriority w:val="0"/>
    <w:pPr>
      <w:spacing w:beforeLines="0" w:afterLines="0"/>
    </w:pPr>
    <w:rPr>
      <w:rFonts w:ascii="宋体" w:eastAsia="宋体"/>
    </w:rPr>
  </w:style>
  <w:style w:type="paragraph" w:customStyle="1" w:styleId="14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50">
    <w:name w:val="TOC 标题1"/>
    <w:basedOn w:val="2"/>
    <w:next w:val="1"/>
    <w:semiHidden/>
    <w:unhideWhenUsed/>
    <w:qFormat/>
    <w:uiPriority w:val="39"/>
    <w:pPr>
      <w:outlineLvl w:val="9"/>
    </w:pPr>
  </w:style>
  <w:style w:type="paragraph" w:styleId="15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3232</Words>
  <Characters>18428</Characters>
  <Lines>153</Lines>
  <Paragraphs>43</Paragraphs>
  <TotalTime>2</TotalTime>
  <ScaleCrop>false</ScaleCrop>
  <LinksUpToDate>false</LinksUpToDate>
  <CharactersWithSpaces>21617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2019-06-11T07:14:00Z</dcterms:created>
  <dc:creator>孙璇</dc:creator>
  <cp:lastModifiedBy>阿不</cp:lastModifiedBy>
  <cp:lastPrinted>2019-06-13T00:19:00Z</cp:lastPrinted>
  <dcterms:modified xsi:type="dcterms:W3CDTF">2019-07-08T01:40:58Z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